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xlsx" ContentType="application/vnd.openxmlformats-officedocument.spreadsheetml.sheet"/>
  <Default Extension="rels" ContentType="application/vnd.openxmlformats-package.relationships+xml"/>
  <Default Extension="xlsm" ContentType="application/vnd.ms-excel.sheet.macroEnabled.12"/>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063F4FF" w14:textId="12801AA7" w:rsidR="00D46C01" w:rsidRDefault="00D46C01" w:rsidP="00EC137F">
      <w:pPr>
        <w:pStyle w:val="Subtitle"/>
        <w:spacing w:after="0"/>
        <w:rPr>
          <w:i w:val="0"/>
          <w:noProof/>
          <w:color w:val="FFFFFF" w:themeColor="background1"/>
        </w:rPr>
      </w:pPr>
      <w:r w:rsidRPr="004B78E3">
        <w:rPr>
          <w:i w:val="0"/>
          <w:noProof/>
          <w:color w:val="FFFFFF" w:themeColor="background1"/>
        </w:rPr>
        <w:drawing>
          <wp:anchor distT="0" distB="0" distL="114300" distR="114300" simplePos="0" relativeHeight="251659776" behindDoc="1" locked="0" layoutInCell="1" allowOverlap="1" wp14:anchorId="76B9B539" wp14:editId="578B39B4">
            <wp:simplePos x="0" y="0"/>
            <wp:positionH relativeFrom="column">
              <wp:posOffset>-1371600</wp:posOffset>
            </wp:positionH>
            <wp:positionV relativeFrom="paragraph">
              <wp:posOffset>78740</wp:posOffset>
            </wp:positionV>
            <wp:extent cx="7791450" cy="3305175"/>
            <wp:effectExtent l="0" t="0" r="0" b="9525"/>
            <wp:wrapNone/>
            <wp:docPr id="4" name="Picture 4" descr="C:\Users\Lauren\Documents\My Dropbox\Bren\0 - Group Project - Long Beach\3. Images\Long Beach sky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en\Documents\My Dropbox\Bren\0 - Group Project - Long Beach\3. Images\Long Beach skyline.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3829" b="11848"/>
                    <a:stretch/>
                  </pic:blipFill>
                  <pic:spPr bwMode="auto">
                    <a:xfrm>
                      <a:off x="0" y="0"/>
                      <a:ext cx="7791450" cy="3305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B2F830" w14:textId="38B1A7D3" w:rsidR="00D46C01" w:rsidRDefault="00D46C01" w:rsidP="00EC137F">
      <w:pPr>
        <w:pStyle w:val="Subtitle"/>
        <w:spacing w:after="0"/>
        <w:rPr>
          <w:i w:val="0"/>
          <w:noProof/>
          <w:color w:val="FFFFFF" w:themeColor="background1"/>
        </w:rPr>
      </w:pPr>
    </w:p>
    <w:p w14:paraId="5CC8981E" w14:textId="083A5014" w:rsidR="00F06F98" w:rsidRDefault="00F06F98" w:rsidP="00EC137F">
      <w:pPr>
        <w:pStyle w:val="Subtitle"/>
        <w:spacing w:after="0"/>
        <w:rPr>
          <w:i w:val="0"/>
          <w:color w:val="FFFFFF" w:themeColor="background1"/>
        </w:rPr>
      </w:pPr>
      <w:r w:rsidRPr="004B78E3">
        <w:rPr>
          <w:i w:val="0"/>
          <w:color w:val="FFFFFF" w:themeColor="background1"/>
        </w:rPr>
        <w:t>UNIVERSITY OF CALIFORNIA</w:t>
      </w:r>
      <w:r w:rsidR="00EC137F">
        <w:rPr>
          <w:i w:val="0"/>
          <w:color w:val="FFFFFF" w:themeColor="background1"/>
        </w:rPr>
        <w:t xml:space="preserve">, </w:t>
      </w:r>
      <w:r w:rsidRPr="004B78E3">
        <w:rPr>
          <w:i w:val="0"/>
          <w:color w:val="FFFFFF" w:themeColor="background1"/>
        </w:rPr>
        <w:t>Santa Barbara</w:t>
      </w:r>
    </w:p>
    <w:p w14:paraId="5EA66241" w14:textId="77777777" w:rsidR="00EC137F" w:rsidRDefault="00EC137F" w:rsidP="00EC137F"/>
    <w:p w14:paraId="72156522" w14:textId="77777777" w:rsidR="00D46C01" w:rsidRPr="00EC137F" w:rsidRDefault="00D46C01" w:rsidP="00EC137F"/>
    <w:p w14:paraId="1680A160" w14:textId="77777777" w:rsidR="00F06F98" w:rsidRPr="003B7A36" w:rsidRDefault="00F06F98" w:rsidP="00F06F98"/>
    <w:p w14:paraId="5FBB979F" w14:textId="77777777" w:rsidR="00F06F98" w:rsidRPr="0061487F" w:rsidRDefault="00F06F98" w:rsidP="00F06F98">
      <w:pPr>
        <w:pStyle w:val="Title"/>
        <w:rPr>
          <w:sz w:val="28"/>
          <w:szCs w:val="28"/>
        </w:rPr>
      </w:pPr>
    </w:p>
    <w:p w14:paraId="5E2750DD" w14:textId="77777777" w:rsidR="0061487F" w:rsidRPr="00D46C01" w:rsidRDefault="0061487F" w:rsidP="00F06F98">
      <w:pPr>
        <w:pStyle w:val="Title"/>
        <w:rPr>
          <w:color w:val="FFFFFF" w:themeColor="background1"/>
          <w:sz w:val="36"/>
        </w:rPr>
      </w:pPr>
    </w:p>
    <w:p w14:paraId="3BB8444E" w14:textId="77777777" w:rsidR="00F06F98" w:rsidRPr="004B78E3" w:rsidRDefault="00F06F98" w:rsidP="00F06F98">
      <w:pPr>
        <w:pStyle w:val="Title"/>
        <w:rPr>
          <w:color w:val="FFFFFF" w:themeColor="background1"/>
        </w:rPr>
      </w:pPr>
      <w:r w:rsidRPr="004B78E3">
        <w:rPr>
          <w:color w:val="FFFFFF" w:themeColor="background1"/>
        </w:rPr>
        <w:t>Motivating Water Conservation</w:t>
      </w:r>
    </w:p>
    <w:p w14:paraId="272147EB" w14:textId="77777777" w:rsidR="00F06F98" w:rsidRPr="004B78E3" w:rsidRDefault="00F06F98" w:rsidP="00F06F98">
      <w:pPr>
        <w:pStyle w:val="Title"/>
        <w:rPr>
          <w:color w:val="FFFFFF" w:themeColor="background1"/>
        </w:rPr>
      </w:pPr>
      <w:proofErr w:type="gramStart"/>
      <w:r w:rsidRPr="004B78E3">
        <w:rPr>
          <w:color w:val="FFFFFF" w:themeColor="background1"/>
        </w:rPr>
        <w:t>in</w:t>
      </w:r>
      <w:proofErr w:type="gramEnd"/>
      <w:r w:rsidRPr="004B78E3">
        <w:rPr>
          <w:color w:val="FFFFFF" w:themeColor="background1"/>
        </w:rPr>
        <w:t xml:space="preserve"> Southern California</w:t>
      </w:r>
    </w:p>
    <w:p w14:paraId="42D0C535" w14:textId="77777777" w:rsidR="00F06F98" w:rsidRPr="004B78E3" w:rsidRDefault="00F06F98" w:rsidP="00F06F98">
      <w:pPr>
        <w:pStyle w:val="Title"/>
        <w:rPr>
          <w:color w:val="FFFFFF" w:themeColor="background1"/>
        </w:rPr>
      </w:pPr>
      <w:proofErr w:type="gramStart"/>
      <w:r w:rsidRPr="004B78E3">
        <w:rPr>
          <w:color w:val="FFFFFF" w:themeColor="background1"/>
        </w:rPr>
        <w:t>through</w:t>
      </w:r>
      <w:proofErr w:type="gramEnd"/>
      <w:r w:rsidRPr="004B78E3">
        <w:rPr>
          <w:color w:val="FFFFFF" w:themeColor="background1"/>
        </w:rPr>
        <w:t xml:space="preserve"> Allocation and Market Mechanisms</w:t>
      </w:r>
    </w:p>
    <w:p w14:paraId="5E2A5CFE" w14:textId="77777777" w:rsidR="00F06F98" w:rsidRPr="004B78E3" w:rsidRDefault="00F06F98" w:rsidP="00F06F98">
      <w:pPr>
        <w:pStyle w:val="Subtitle"/>
        <w:rPr>
          <w:i w:val="0"/>
        </w:rPr>
      </w:pPr>
    </w:p>
    <w:p w14:paraId="1A3E54D7" w14:textId="77777777" w:rsidR="00F06F98" w:rsidRDefault="00F06F98" w:rsidP="00F06F98"/>
    <w:p w14:paraId="64498A67" w14:textId="77777777" w:rsidR="00F06F98" w:rsidRDefault="00F06F98" w:rsidP="00F06F98">
      <w:pPr>
        <w:pStyle w:val="Subtitle"/>
        <w:spacing w:after="0"/>
      </w:pPr>
      <w:r>
        <w:t>A Group Project submitted in partial satisfaction of the requirements for the degree of</w:t>
      </w:r>
    </w:p>
    <w:p w14:paraId="744F8A80" w14:textId="77777777" w:rsidR="00F06F98" w:rsidRDefault="00F06F98" w:rsidP="00F06F98">
      <w:pPr>
        <w:pStyle w:val="Subtitle"/>
        <w:spacing w:after="0"/>
      </w:pPr>
      <w:r>
        <w:t>Master of Environmental Science and Management for the</w:t>
      </w:r>
    </w:p>
    <w:p w14:paraId="2A813EB9" w14:textId="77777777" w:rsidR="00F06F98" w:rsidRDefault="00F06F98" w:rsidP="00F06F98">
      <w:pPr>
        <w:pStyle w:val="Subtitle"/>
      </w:pPr>
      <w:r>
        <w:t>Bren School of Environmental Science &amp; Management by</w:t>
      </w:r>
    </w:p>
    <w:p w14:paraId="3B4FFA2D" w14:textId="6BC6B40C" w:rsidR="00F06F98" w:rsidRPr="00CC2716" w:rsidRDefault="00F06F98" w:rsidP="00D46C01">
      <w:pPr>
        <w:pStyle w:val="Subtitle"/>
        <w:spacing w:line="240" w:lineRule="auto"/>
        <w:rPr>
          <w:i w:val="0"/>
          <w:sz w:val="32"/>
        </w:rPr>
      </w:pPr>
      <w:r w:rsidRPr="00CC2716">
        <w:rPr>
          <w:i w:val="0"/>
          <w:sz w:val="32"/>
        </w:rPr>
        <w:t>Jim Bond</w:t>
      </w:r>
    </w:p>
    <w:p w14:paraId="063D6851" w14:textId="77777777" w:rsidR="00F06F98" w:rsidRPr="00CC2716" w:rsidRDefault="00F06F98" w:rsidP="00D46C01">
      <w:pPr>
        <w:pStyle w:val="Subtitle"/>
        <w:spacing w:line="240" w:lineRule="auto"/>
        <w:rPr>
          <w:i w:val="0"/>
          <w:sz w:val="32"/>
        </w:rPr>
      </w:pPr>
      <w:r w:rsidRPr="00CC2716">
        <w:rPr>
          <w:i w:val="0"/>
          <w:sz w:val="32"/>
        </w:rPr>
        <w:t xml:space="preserve">Mary-Sophia </w:t>
      </w:r>
      <w:proofErr w:type="spellStart"/>
      <w:r w:rsidRPr="00CC2716">
        <w:rPr>
          <w:i w:val="0"/>
          <w:sz w:val="32"/>
        </w:rPr>
        <w:t>Motlow</w:t>
      </w:r>
      <w:proofErr w:type="spellEnd"/>
    </w:p>
    <w:p w14:paraId="7CD7A857" w14:textId="77777777" w:rsidR="00F06F98" w:rsidRPr="00CC2716" w:rsidRDefault="00F06F98" w:rsidP="00D46C01">
      <w:pPr>
        <w:pStyle w:val="Subtitle"/>
        <w:spacing w:line="240" w:lineRule="auto"/>
        <w:rPr>
          <w:i w:val="0"/>
          <w:sz w:val="32"/>
        </w:rPr>
      </w:pPr>
      <w:r w:rsidRPr="00CC2716">
        <w:rPr>
          <w:i w:val="0"/>
          <w:sz w:val="32"/>
        </w:rPr>
        <w:t>Lauren Steely</w:t>
      </w:r>
    </w:p>
    <w:p w14:paraId="7862054B" w14:textId="77777777" w:rsidR="00F06F98" w:rsidRPr="00CC2716" w:rsidRDefault="00F06F98" w:rsidP="00DA741F">
      <w:pPr>
        <w:pStyle w:val="Subtitle"/>
        <w:spacing w:line="240" w:lineRule="auto"/>
        <w:rPr>
          <w:i w:val="0"/>
          <w:sz w:val="32"/>
        </w:rPr>
      </w:pPr>
      <w:r w:rsidRPr="00CC2716">
        <w:rPr>
          <w:i w:val="0"/>
          <w:sz w:val="32"/>
        </w:rPr>
        <w:t>Dean Wang</w:t>
      </w:r>
    </w:p>
    <w:p w14:paraId="6371F977" w14:textId="77777777" w:rsidR="00F06F98" w:rsidRDefault="00F06F98" w:rsidP="00DA741F">
      <w:pPr>
        <w:pStyle w:val="Subtitle"/>
        <w:spacing w:after="0" w:line="240" w:lineRule="auto"/>
      </w:pPr>
    </w:p>
    <w:p w14:paraId="267C47BD" w14:textId="77777777" w:rsidR="00F06F98" w:rsidRPr="00CC2716" w:rsidRDefault="00F06F98" w:rsidP="00DA741F">
      <w:pPr>
        <w:pStyle w:val="Subtitle"/>
        <w:spacing w:line="240" w:lineRule="auto"/>
      </w:pPr>
      <w:r w:rsidRPr="00CC2716">
        <w:t>Committee in charge:</w:t>
      </w:r>
    </w:p>
    <w:p w14:paraId="08D8DAA8" w14:textId="77777777" w:rsidR="00F06F98" w:rsidRDefault="00F06F98" w:rsidP="00DA741F">
      <w:pPr>
        <w:pStyle w:val="Subtitle"/>
        <w:spacing w:after="0" w:line="240" w:lineRule="auto"/>
        <w:rPr>
          <w:i w:val="0"/>
          <w:sz w:val="32"/>
        </w:rPr>
      </w:pPr>
      <w:r w:rsidRPr="00CC2716">
        <w:rPr>
          <w:i w:val="0"/>
          <w:sz w:val="32"/>
        </w:rPr>
        <w:t xml:space="preserve">Dr. Gary </w:t>
      </w:r>
      <w:proofErr w:type="spellStart"/>
      <w:r w:rsidRPr="00CC2716">
        <w:rPr>
          <w:i w:val="0"/>
          <w:sz w:val="32"/>
        </w:rPr>
        <w:t>Libecap</w:t>
      </w:r>
      <w:proofErr w:type="spellEnd"/>
    </w:p>
    <w:p w14:paraId="30145019" w14:textId="77777777" w:rsidR="00EC137F" w:rsidRPr="00EC137F" w:rsidRDefault="00EC137F" w:rsidP="00DA741F">
      <w:pPr>
        <w:spacing w:line="240" w:lineRule="auto"/>
      </w:pPr>
    </w:p>
    <w:p w14:paraId="02490CF7" w14:textId="77777777" w:rsidR="00F06F98" w:rsidRDefault="00F06F98" w:rsidP="00DA741F">
      <w:pPr>
        <w:pStyle w:val="Subtitle"/>
        <w:spacing w:line="240" w:lineRule="auto"/>
        <w:rPr>
          <w:i w:val="0"/>
          <w:sz w:val="32"/>
        </w:rPr>
      </w:pPr>
      <w:r w:rsidRPr="00CC2716">
        <w:rPr>
          <w:i w:val="0"/>
          <w:sz w:val="32"/>
        </w:rPr>
        <w:t>April 2015</w:t>
      </w:r>
    </w:p>
    <w:p w14:paraId="47832078" w14:textId="77777777" w:rsidR="00F06F98" w:rsidRPr="009D3B2A" w:rsidRDefault="00F06F98" w:rsidP="00F06F98">
      <w:pPr>
        <w:pStyle w:val="Subtitle"/>
        <w:rPr>
          <w:i w:val="0"/>
          <w:sz w:val="32"/>
        </w:rPr>
      </w:pPr>
      <w:r w:rsidRPr="002832B1">
        <w:rPr>
          <w:noProof/>
        </w:rPr>
        <w:drawing>
          <wp:inline distT="0" distB="0" distL="0" distR="0" wp14:anchorId="036D4A1F" wp14:editId="7170B3BD">
            <wp:extent cx="2809875" cy="603397"/>
            <wp:effectExtent l="0" t="0" r="0" b="6350"/>
            <wp:docPr id="9" name="Picture 9" descr="C:\Users\Lauren\Documents\My Dropbox\Bren\0 - Group Project - Long Beach\3. Images\Bren logo - 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en\Documents\My Dropbox\Bren\0 - Group Project - Long Beach\3. Images\Bren logo - lon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7890" cy="607266"/>
                    </a:xfrm>
                    <a:prstGeom prst="rect">
                      <a:avLst/>
                    </a:prstGeom>
                    <a:noFill/>
                    <a:ln>
                      <a:noFill/>
                    </a:ln>
                  </pic:spPr>
                </pic:pic>
              </a:graphicData>
            </a:graphic>
          </wp:inline>
        </w:drawing>
      </w:r>
      <w:r>
        <w:br w:type="page"/>
      </w:r>
    </w:p>
    <w:p w14:paraId="0C81730A" w14:textId="77777777" w:rsidR="00F06F98" w:rsidRDefault="00F06F98" w:rsidP="00F06F98">
      <w:pPr>
        <w:spacing w:line="259" w:lineRule="auto"/>
      </w:pPr>
      <w:r>
        <w:lastRenderedPageBreak/>
        <w:t>As authors of this Group Project report, we are proud to archive this report on the Bren School’s website such that the results of our research are available for all to read. Our signatures on the document signify our joint responsibility to fulfill the archiving standards set by the Bren School of Environmental Science &amp; Management.</w:t>
      </w:r>
    </w:p>
    <w:p w14:paraId="5D271023" w14:textId="77777777" w:rsidR="00F06F98" w:rsidRDefault="00F06F98" w:rsidP="00F06F98">
      <w:pPr>
        <w:spacing w:line="259" w:lineRule="auto"/>
        <w:ind w:left="720"/>
      </w:pPr>
    </w:p>
    <w:p w14:paraId="3EA2EFD3" w14:textId="77777777" w:rsidR="00F06F98" w:rsidRDefault="00F06F98" w:rsidP="00F06F98">
      <w:pPr>
        <w:spacing w:line="259" w:lineRule="auto"/>
        <w:ind w:left="720"/>
      </w:pPr>
      <w:r>
        <w:t>___________________________________</w:t>
      </w:r>
    </w:p>
    <w:p w14:paraId="0BD734B7" w14:textId="77777777" w:rsidR="00F06F98" w:rsidRDefault="00F06F98" w:rsidP="00F06F98">
      <w:pPr>
        <w:spacing w:line="259" w:lineRule="auto"/>
        <w:ind w:left="720"/>
      </w:pPr>
      <w:r>
        <w:t>Jim Bond</w:t>
      </w:r>
    </w:p>
    <w:p w14:paraId="5A0E19C2" w14:textId="77777777" w:rsidR="00F06F98" w:rsidRDefault="00F06F98" w:rsidP="00F06F98">
      <w:pPr>
        <w:spacing w:before="240" w:line="259" w:lineRule="auto"/>
        <w:ind w:left="720"/>
      </w:pPr>
      <w:r>
        <w:t>___________________________________</w:t>
      </w:r>
    </w:p>
    <w:p w14:paraId="69FF1A0A" w14:textId="77777777" w:rsidR="00F06F98" w:rsidRDefault="00F06F98" w:rsidP="00F06F98">
      <w:pPr>
        <w:spacing w:line="259" w:lineRule="auto"/>
        <w:ind w:left="720"/>
      </w:pPr>
      <w:r>
        <w:t xml:space="preserve">Mary-Sophia </w:t>
      </w:r>
      <w:proofErr w:type="spellStart"/>
      <w:r>
        <w:t>Motlow</w:t>
      </w:r>
      <w:proofErr w:type="spellEnd"/>
    </w:p>
    <w:p w14:paraId="7A96E76B" w14:textId="77777777" w:rsidR="00F06F98" w:rsidRDefault="00F06F98" w:rsidP="00F06F98">
      <w:pPr>
        <w:spacing w:before="240" w:line="259" w:lineRule="auto"/>
        <w:ind w:left="720"/>
      </w:pPr>
      <w:r>
        <w:t>___________________________________</w:t>
      </w:r>
    </w:p>
    <w:p w14:paraId="0A38E265" w14:textId="77777777" w:rsidR="00F06F98" w:rsidRDefault="00F06F98" w:rsidP="00F06F98">
      <w:pPr>
        <w:spacing w:line="259" w:lineRule="auto"/>
        <w:ind w:left="720"/>
      </w:pPr>
      <w:r>
        <w:t>Lauren Steely</w:t>
      </w:r>
    </w:p>
    <w:p w14:paraId="4351ED2C" w14:textId="77777777" w:rsidR="00F06F98" w:rsidRDefault="00F06F98" w:rsidP="00F06F98">
      <w:pPr>
        <w:spacing w:before="240" w:line="259" w:lineRule="auto"/>
        <w:ind w:left="720"/>
      </w:pPr>
      <w:r>
        <w:t>___________________________________</w:t>
      </w:r>
    </w:p>
    <w:p w14:paraId="39047877" w14:textId="77777777" w:rsidR="00F06F98" w:rsidRDefault="00F06F98" w:rsidP="00F06F98">
      <w:pPr>
        <w:spacing w:line="259" w:lineRule="auto"/>
        <w:ind w:left="720"/>
      </w:pPr>
      <w:r>
        <w:t>Dean Wang</w:t>
      </w:r>
    </w:p>
    <w:p w14:paraId="7B8E5201" w14:textId="77777777" w:rsidR="00F06F98" w:rsidRDefault="00F06F98" w:rsidP="00F06F98">
      <w:pPr>
        <w:spacing w:line="259" w:lineRule="auto"/>
      </w:pPr>
    </w:p>
    <w:p w14:paraId="1DECFC55" w14:textId="77777777" w:rsidR="00F06F98" w:rsidRDefault="00F06F98" w:rsidP="00F06F98">
      <w:pPr>
        <w:spacing w:line="259" w:lineRule="auto"/>
      </w:pPr>
      <w:r>
        <w:t>The mission of the Bren School of Environmental Science &amp; Management is to produce professionals with unrivaled training in environmental science and management who will devote their unique skills to the diagnosis, assessment, mitigation, prevention, and remedy of the environmental problems of today and the future. A guiding principle of the School is that the analysis of environmental problems requires quantitative training in more than one discipline and an awareness of the physical, biological, social, political, and economic consequences that arise from scientific or technological decisions.</w:t>
      </w:r>
    </w:p>
    <w:p w14:paraId="2799080C" w14:textId="77777777" w:rsidR="00F06F98" w:rsidRDefault="00F06F98" w:rsidP="00F06F98">
      <w:pPr>
        <w:spacing w:line="259" w:lineRule="auto"/>
      </w:pPr>
      <w:r>
        <w:t>The Group Project is required of all students in the Masters of Environmental Science and Management (MESM) Program. It is a three-quarter activity in which small groups of students conduct focused, interdisciplinary research on the scientific management, and policy dimensions of a specific environmental issue. This Final Group Project Report is authored by MESM students and has been reviewed and approved by:</w:t>
      </w:r>
    </w:p>
    <w:p w14:paraId="34D66C8E" w14:textId="77777777" w:rsidR="00F06F98" w:rsidRDefault="00F06F98" w:rsidP="00F06F98">
      <w:pPr>
        <w:spacing w:line="259" w:lineRule="auto"/>
      </w:pPr>
      <w:r>
        <w:t>_________________________________</w:t>
      </w:r>
    </w:p>
    <w:p w14:paraId="210F6645" w14:textId="77777777" w:rsidR="00F06F98" w:rsidRDefault="00F06F98" w:rsidP="00F06F98">
      <w:pPr>
        <w:spacing w:line="259" w:lineRule="auto"/>
      </w:pPr>
      <w:r>
        <w:t xml:space="preserve">Gary </w:t>
      </w:r>
      <w:proofErr w:type="spellStart"/>
      <w:r>
        <w:t>Libecap</w:t>
      </w:r>
      <w:proofErr w:type="spellEnd"/>
    </w:p>
    <w:p w14:paraId="66D32102" w14:textId="3B837205" w:rsidR="00F06F98" w:rsidRDefault="00F06F98" w:rsidP="00F06F98">
      <w:pPr>
        <w:spacing w:line="259" w:lineRule="auto"/>
        <w:sectPr w:rsidR="00F06F98" w:rsidSect="00C655BD">
          <w:footerReference w:type="even" r:id="rId11"/>
          <w:footerReference w:type="default" r:id="rId12"/>
          <w:endnotePr>
            <w:numFmt w:val="decimal"/>
          </w:endnotePr>
          <w:pgSz w:w="12240" w:h="15840"/>
          <w:pgMar w:top="1800" w:right="1800" w:bottom="1800" w:left="2160" w:header="720" w:footer="720" w:gutter="0"/>
          <w:cols w:space="720"/>
        </w:sectPr>
      </w:pPr>
      <w:r>
        <w:t>April</w:t>
      </w:r>
      <w:r w:rsidR="006437A1">
        <w:t xml:space="preserve"> 13</w:t>
      </w:r>
      <w:r>
        <w:t>, 2015</w:t>
      </w:r>
    </w:p>
    <w:p w14:paraId="4CA62F8E" w14:textId="77777777" w:rsidR="00F06F98" w:rsidRPr="004F3BCC" w:rsidRDefault="00F06F98" w:rsidP="00F06F98">
      <w:pPr>
        <w:pStyle w:val="Heading0"/>
      </w:pPr>
      <w:bookmarkStart w:id="0" w:name="_Toc416611286"/>
      <w:r>
        <w:lastRenderedPageBreak/>
        <w:t>Abstract</w:t>
      </w:r>
      <w:bookmarkEnd w:id="0"/>
    </w:p>
    <w:p w14:paraId="05E032D7" w14:textId="7D95E440" w:rsidR="004F3BCC" w:rsidRDefault="00F06F98">
      <w:pPr>
        <w:spacing w:line="259" w:lineRule="auto"/>
        <w:rPr>
          <w:rFonts w:asciiTheme="majorHAnsi" w:eastAsiaTheme="majorEastAsia" w:hAnsiTheme="majorHAnsi" w:cstheme="majorBidi"/>
          <w:caps/>
          <w:color w:val="B22600" w:themeColor="accent6"/>
          <w:sz w:val="36"/>
          <w:szCs w:val="36"/>
        </w:rPr>
      </w:pPr>
      <w:r w:rsidRPr="001747E6">
        <w:t xml:space="preserve">Despite the ongoing 2012-15 </w:t>
      </w:r>
      <w:proofErr w:type="gramStart"/>
      <w:r w:rsidRPr="001747E6">
        <w:t>drought</w:t>
      </w:r>
      <w:proofErr w:type="gramEnd"/>
      <w:r w:rsidRPr="001747E6">
        <w:t>, urban water agencies in Southern California have not responded aggressively to statewide calls for conservation. Long Beach Water Department has been an exception, reducing their per capita water usage by 40% through conservation measures over the last 30 years. Why have other urban agencies in Southern California not undertaken similar conservation efforts? We investigate to what extent the Metropolitan Water District’s existing system of drought water allocation provides incentives for agencies to conserve, showing that an agency’s conservation efforts in wet years lead to a lower water allocation in times of drought. We analyze the effect of an individual agency’s conservation on their drought allocation and on other agencies’ allocations, revealing a disincentive to conserve under the current system. In response, we develop an alternative allocation system with the goal of incentivizing conservation. We show that under the new system, agencies are able to gain additional benefits from their conservation by trading conserved wate</w:t>
      </w:r>
      <w:r w:rsidR="005D6386">
        <w:t>r in a market. Agencies with high</w:t>
      </w:r>
      <w:r w:rsidRPr="001747E6">
        <w:t xml:space="preserve"> costs of conservation could pay other agencies to conserve water in order to receive the newly created surplus water. Incentivizing conservation </w:t>
      </w:r>
      <w:r w:rsidR="005D6386">
        <w:t>helps to ensure</w:t>
      </w:r>
      <w:r w:rsidRPr="001747E6">
        <w:t xml:space="preserve"> that current supplies will meet demand in the face of increasing scarcity and reduces the need to seek new supply</w:t>
      </w:r>
      <w:r w:rsidR="005D6386">
        <w:t>.</w:t>
      </w:r>
      <w:r w:rsidR="004F3BCC">
        <w:br w:type="page"/>
      </w:r>
    </w:p>
    <w:p w14:paraId="219B7549" w14:textId="123B3EAD" w:rsidR="004B4B66" w:rsidRDefault="007B6ECE" w:rsidP="00A21BB3">
      <w:pPr>
        <w:pStyle w:val="Heading0"/>
      </w:pPr>
      <w:bookmarkStart w:id="1" w:name="_Toc416611287"/>
      <w:r>
        <w:lastRenderedPageBreak/>
        <w:t>Executive</w:t>
      </w:r>
      <w:r w:rsidR="004B4B66">
        <w:t xml:space="preserve"> Summary</w:t>
      </w:r>
      <w:bookmarkEnd w:id="1"/>
    </w:p>
    <w:p w14:paraId="4B06869C" w14:textId="014D8F64" w:rsidR="007B7741" w:rsidRDefault="007B7741" w:rsidP="007B7741">
      <w:r>
        <w:t>In January 2014, in year four of one of the worst droughts in California history, Governor Jerry Brown declared a state of emergency and urged water agencies throughout the state to voluntarily reduce their use by 20% below 2013 levels. By February 2015, more than a year later, Southern California agencies had only reduced their usage by 2%. With the severity of the drought increasing, Governor Brown instituted a mandatory 25% r</w:t>
      </w:r>
      <w:r w:rsidR="00F5375E">
        <w:t>eduction for urban water users.</w:t>
      </w:r>
    </w:p>
    <w:p w14:paraId="09844C53" w14:textId="269CAF50" w:rsidR="00F5375E" w:rsidRDefault="00F5375E" w:rsidP="00F5375E">
      <w:r w:rsidRPr="00226191">
        <w:t>Why have these urban water agencies not responded mo</w:t>
      </w:r>
      <w:r>
        <w:t>re aggressively to the drought? In this report, w</w:t>
      </w:r>
      <w:r w:rsidRPr="00226191">
        <w:t>e argue that the current system of drought allocation in Southern California could better incentivize agencies to conserve by adopting market-b</w:t>
      </w:r>
      <w:r>
        <w:t>ased principles. W</w:t>
      </w:r>
      <w:r w:rsidRPr="00226191">
        <w:t xml:space="preserve">e </w:t>
      </w:r>
      <w:r>
        <w:t xml:space="preserve">then </w:t>
      </w:r>
      <w:r w:rsidRPr="00226191">
        <w:t>explore the opportunity for alternative water allocation methodologies coup</w:t>
      </w:r>
      <w:bookmarkStart w:id="2" w:name="_GoBack"/>
      <w:bookmarkEnd w:id="2"/>
      <w:r w:rsidRPr="00226191">
        <w:t>led with a market system that would create stronger incentives for conservation.</w:t>
      </w:r>
    </w:p>
    <w:p w14:paraId="77468936" w14:textId="5D6BD1B0" w:rsidR="006437A1" w:rsidRPr="00226191" w:rsidRDefault="006437A1" w:rsidP="006437A1">
      <w:r w:rsidRPr="00226191">
        <w:t xml:space="preserve">During a regional supply curtailment, which may occur </w:t>
      </w:r>
      <w:r>
        <w:t>in 2015–16</w:t>
      </w:r>
      <w:r w:rsidRPr="00226191">
        <w:t>, Southern California water agencies receive shares of supply in proportion to their recent historical usage; purchases beyond their share are charged a substantially higher volumetric rate. But using historical usage as a baseline create</w:t>
      </w:r>
      <w:r>
        <w:t>s</w:t>
      </w:r>
      <w:r w:rsidRPr="00226191">
        <w:t xml:space="preserve"> perverse incentives: agencies with high per capita usage receive a larger share by continuing their high usage, while agencies that invest heavily in conservation during non-shortage years receive less water when a shortage is declared. Moreover, agencies that use less than their </w:t>
      </w:r>
      <w:proofErr w:type="gramStart"/>
      <w:r w:rsidRPr="00226191">
        <w:t>share are</w:t>
      </w:r>
      <w:proofErr w:type="gramEnd"/>
      <w:r w:rsidRPr="00226191">
        <w:t xml:space="preserve"> unable to store or sell their surplus water, a restriction that results in inefficient water use.</w:t>
      </w:r>
    </w:p>
    <w:p w14:paraId="680ACC68" w14:textId="77777777" w:rsidR="006437A1" w:rsidRPr="00226191" w:rsidRDefault="006437A1" w:rsidP="006437A1">
      <w:r w:rsidRPr="00226191">
        <w:t xml:space="preserve">Water markets are one possible solution. Similar to markets for pollution emissions, water markets allow agencies with low marginal costs of conservation to benefit from selling their conserved water to other agencies, </w:t>
      </w:r>
      <w:proofErr w:type="gramStart"/>
      <w:r w:rsidRPr="00226191">
        <w:t>who</w:t>
      </w:r>
      <w:proofErr w:type="gramEnd"/>
      <w:r w:rsidRPr="00226191">
        <w:t xml:space="preserve"> also benefit because the market price of water may be less than their own cost of conservation.</w:t>
      </w:r>
    </w:p>
    <w:p w14:paraId="36F53031" w14:textId="0F3C630F" w:rsidR="006437A1" w:rsidRPr="00226191" w:rsidRDefault="006437A1" w:rsidP="00F5375E">
      <w:r w:rsidRPr="00226191">
        <w:t>The Metropolitan Water District of Southern California service ar</w:t>
      </w:r>
      <w:r>
        <w:t>ea represents an ideal platform</w:t>
      </w:r>
      <w:r w:rsidRPr="00226191">
        <w:t xml:space="preserve"> for such a market because its member agencies share a robust and interconnected water</w:t>
      </w:r>
      <w:r w:rsidR="00744EDF">
        <w:t xml:space="preserve"> infrastructure. Most trades could</w:t>
      </w:r>
      <w:r w:rsidRPr="00226191">
        <w:t xml:space="preserve"> therefore </w:t>
      </w:r>
      <w:r w:rsidR="00744EDF">
        <w:t xml:space="preserve">be </w:t>
      </w:r>
      <w:r w:rsidRPr="00226191">
        <w:t>reduced to transfers of paper water rights in which conveyance is not a concern,</w:t>
      </w:r>
      <w:r>
        <w:t xml:space="preserve"> keeping transaction costs low.</w:t>
      </w:r>
    </w:p>
    <w:p w14:paraId="4079FEF3" w14:textId="02901E48" w:rsidR="007B7741" w:rsidRPr="00836620" w:rsidRDefault="00A5284F" w:rsidP="007B7741">
      <w:r>
        <w:lastRenderedPageBreak/>
        <w:t>Our client, t</w:t>
      </w:r>
      <w:r w:rsidR="007B7741">
        <w:t>he Long Beach Water Department</w:t>
      </w:r>
      <w:r>
        <w:t>,</w:t>
      </w:r>
      <w:r w:rsidR="007B7741">
        <w:t xml:space="preserve"> is one Southern California agency that has proactively worked to change water use behavior over the last thr</w:t>
      </w:r>
      <w:r>
        <w:t>ee decades. Through aggressive</w:t>
      </w:r>
      <w:r w:rsidR="007B7741">
        <w:t xml:space="preserve"> water conservation progra</w:t>
      </w:r>
      <w:r>
        <w:t>ms, Long Beach has reduced its</w:t>
      </w:r>
      <w:r w:rsidR="007B7741">
        <w:t xml:space="preserve"> water use to the lowest it has been since 1958, despite an increasi</w:t>
      </w:r>
      <w:r w:rsidR="005D6386">
        <w:t>ng population. However, when agencies like Long Beach have</w:t>
      </w:r>
      <w:r w:rsidR="007B7741">
        <w:t xml:space="preserve"> already reduce</w:t>
      </w:r>
      <w:r>
        <w:t>d</w:t>
      </w:r>
      <w:r w:rsidR="007B7741">
        <w:t xml:space="preserve"> its demand, a call for further reduction puts additional burden on them because they have already uncovered </w:t>
      </w:r>
      <w:r>
        <w:t>the easiest and cheapest opportunities for conservation</w:t>
      </w:r>
      <w:r w:rsidR="007B7741">
        <w:t>. In addition, the current system of allocating water supply in Southern California suggests that when supplies become limited, the water supply they are allocated will be reduced even further. T</w:t>
      </w:r>
      <w:r w:rsidR="007B7741" w:rsidRPr="00836620">
        <w:t>he conservation Long Beach has done to date causes them to receive less water in times of drought than if they had not conserved at all.</w:t>
      </w:r>
    </w:p>
    <w:p w14:paraId="23367DC1" w14:textId="77777777" w:rsidR="007B7741" w:rsidRDefault="007B7741" w:rsidP="007B7741">
      <w:r>
        <w:t>Our research examines the current method of water allocation in Southern California to better understand the implications of conservation. In this paper we consider two questions:</w:t>
      </w:r>
    </w:p>
    <w:p w14:paraId="7C8327E8" w14:textId="40E82B1E" w:rsidR="007B7741" w:rsidRPr="006B0B24" w:rsidRDefault="007B7741" w:rsidP="007B7741">
      <w:pPr>
        <w:pStyle w:val="ListParagraph"/>
        <w:numPr>
          <w:ilvl w:val="0"/>
          <w:numId w:val="43"/>
        </w:numPr>
        <w:spacing w:after="200" w:line="276" w:lineRule="auto"/>
        <w:rPr>
          <w:i/>
        </w:rPr>
      </w:pPr>
      <w:r w:rsidRPr="006B0B24">
        <w:rPr>
          <w:i/>
        </w:rPr>
        <w:t>How does the way water is currently allo</w:t>
      </w:r>
      <w:r w:rsidR="00DF236E">
        <w:rPr>
          <w:i/>
        </w:rPr>
        <w:t>cated in Southern California encourage</w:t>
      </w:r>
      <w:r w:rsidR="005D6386">
        <w:rPr>
          <w:i/>
        </w:rPr>
        <w:t xml:space="preserve"> conservation</w:t>
      </w:r>
      <w:r w:rsidRPr="006B0B24">
        <w:rPr>
          <w:i/>
        </w:rPr>
        <w:t xml:space="preserve">?  </w:t>
      </w:r>
    </w:p>
    <w:p w14:paraId="4E9EE478" w14:textId="747B1741" w:rsidR="007B7741" w:rsidRPr="006B0B24" w:rsidRDefault="007B7741" w:rsidP="007B7741">
      <w:pPr>
        <w:pStyle w:val="ListParagraph"/>
        <w:numPr>
          <w:ilvl w:val="0"/>
          <w:numId w:val="43"/>
        </w:numPr>
        <w:spacing w:after="200" w:line="276" w:lineRule="auto"/>
        <w:rPr>
          <w:i/>
        </w:rPr>
      </w:pPr>
      <w:r w:rsidRPr="006B0B24">
        <w:rPr>
          <w:i/>
        </w:rPr>
        <w:t xml:space="preserve">How could we develop a new </w:t>
      </w:r>
      <w:r w:rsidR="00DF236E">
        <w:rPr>
          <w:i/>
        </w:rPr>
        <w:t>allocation system to promote</w:t>
      </w:r>
      <w:r w:rsidRPr="006B0B24">
        <w:rPr>
          <w:i/>
        </w:rPr>
        <w:t xml:space="preserve"> conservation, and how would the new system compare to the current system?</w:t>
      </w:r>
    </w:p>
    <w:p w14:paraId="40AFACBB" w14:textId="77777777" w:rsidR="007B7741" w:rsidRDefault="007B7741" w:rsidP="007B7741">
      <w:r>
        <w:t>The Metropolitan Water District of Southern California (Met) is the largest wholesale distributor of water in the United States, providing water supplies to approximately 19 million people via 26 member agencies. During years when water supplies cannot meet demand, Met institutes their Water Supply Allocation Plan (WSAP), a methodology for allocating water to each agency. In order to examine how the WSAP incentivizes conservation, we worked with member agency data and the spreadsheet Met uses to calculate 2015 WSAP formulas.</w:t>
      </w:r>
    </w:p>
    <w:p w14:paraId="2E82534F" w14:textId="7801B3EC" w:rsidR="007B7741" w:rsidRDefault="007B7741" w:rsidP="007B7741">
      <w:r>
        <w:t xml:space="preserve">The </w:t>
      </w:r>
      <w:r w:rsidR="005D6386">
        <w:t>WSAP was assembled using</w:t>
      </w:r>
      <w:r>
        <w:t xml:space="preserve"> estimates for each Met member agency’s water demand, population, local supplies, per capita usage, and othe</w:t>
      </w:r>
      <w:r w:rsidR="00C25EB6">
        <w:t>r factors used to calculate the</w:t>
      </w:r>
      <w:r>
        <w:t xml:space="preserve"> amount of water they can purchase during a drought. The values in the WSAP serve as an approximation for how water would be allocated under the status quo should a shortage </w:t>
      </w:r>
      <w:proofErr w:type="gramStart"/>
      <w:r>
        <w:t>be</w:t>
      </w:r>
      <w:proofErr w:type="gramEnd"/>
      <w:r>
        <w:t xml:space="preserve"> declared. Using the WSAP, we were able to observe how an agency’s water use affects the amount of their individual allocation, and the allocations of other member agencies. Allocation outcomes were then tested for differing agencies, under differing intensities of water use and differing levels of shortage severity.</w:t>
      </w:r>
    </w:p>
    <w:p w14:paraId="58C2BB37" w14:textId="10F9900A" w:rsidR="007B7741" w:rsidRPr="004B1F71" w:rsidRDefault="007B7741" w:rsidP="007B7741">
      <w:r w:rsidRPr="004B1F71">
        <w:lastRenderedPageBreak/>
        <w:t>Examination of the status quo led us to identify two</w:t>
      </w:r>
      <w:r>
        <w:t xml:space="preserve"> factors in the WSAP that a</w:t>
      </w:r>
      <w:r w:rsidRPr="004B1F71">
        <w:t xml:space="preserve">ffect incentives for conservation. One factor relates to the baseline period from which an allocation is </w:t>
      </w:r>
      <w:r>
        <w:t>calculated</w:t>
      </w:r>
      <w:r w:rsidRPr="004B1F71">
        <w:t xml:space="preserve">, and the other relates to the lack of a secure </w:t>
      </w:r>
      <w:r w:rsidR="00744EDF">
        <w:t>use right</w:t>
      </w:r>
      <w:r w:rsidRPr="004B1F71">
        <w:t xml:space="preserve"> associated with an allocation.</w:t>
      </w:r>
      <w:r>
        <w:t xml:space="preserve"> We found that the WSAP only accounts for an agency’s most recent year’s water use when determining an allocation. As such, the WSAP provides water to </w:t>
      </w:r>
      <w:r w:rsidR="005D6386">
        <w:t xml:space="preserve">anticipate </w:t>
      </w:r>
      <w:r>
        <w:t>current demand</w:t>
      </w:r>
      <w:r w:rsidR="005D6386">
        <w:t xml:space="preserve"> based on the most recent years’ consumption</w:t>
      </w:r>
      <w:r>
        <w:t>. However, this methodology does not acknowledge the benefits from conservation that agency</w:t>
      </w:r>
      <w:r w:rsidR="005D6386">
        <w:t xml:space="preserve"> has provided in reducing </w:t>
      </w:r>
      <w:r>
        <w:t>demand over time. Furthermore, there is no claim that an agency can make on the quantity of water conserved</w:t>
      </w:r>
      <w:r w:rsidR="005D6386">
        <w:t xml:space="preserve"> for later use or trading</w:t>
      </w:r>
      <w:r>
        <w:t>. Effectively, the conservation efforts of an individual agency benefit the system as whole by providing more water to distribute, but hurt the conserving agency by reducing their demand and therefore the size of their allocation.</w:t>
      </w:r>
    </w:p>
    <w:p w14:paraId="41950BB1" w14:textId="556B277D" w:rsidR="007B7741" w:rsidRDefault="007B7741" w:rsidP="007B7741">
      <w:pPr>
        <w:rPr>
          <w:rFonts w:eastAsia="Times New Roman"/>
        </w:rPr>
      </w:pPr>
      <w:r>
        <w:t xml:space="preserve">We then examined alternative approaches to allocating water that might improve conservation incentives, and compared the results of those strategies with the WSAP analysis results. </w:t>
      </w:r>
      <w:r w:rsidRPr="004B1F71">
        <w:rPr>
          <w:rFonts w:eastAsia="Times New Roman"/>
        </w:rPr>
        <w:t xml:space="preserve">After reviewing </w:t>
      </w:r>
      <w:r>
        <w:rPr>
          <w:rFonts w:eastAsia="Times New Roman"/>
        </w:rPr>
        <w:t xml:space="preserve">various methodologies of allocation, </w:t>
      </w:r>
      <w:r w:rsidRPr="004B1F71">
        <w:rPr>
          <w:rFonts w:eastAsia="Times New Roman"/>
        </w:rPr>
        <w:t>the pr</w:t>
      </w:r>
      <w:r>
        <w:rPr>
          <w:rFonts w:eastAsia="Times New Roman"/>
        </w:rPr>
        <w:t>os and cons of each of</w:t>
      </w:r>
      <w:r w:rsidRPr="004B1F71">
        <w:rPr>
          <w:rFonts w:eastAsia="Times New Roman"/>
        </w:rPr>
        <w:t xml:space="preserve"> </w:t>
      </w:r>
      <w:r>
        <w:rPr>
          <w:rFonts w:eastAsia="Times New Roman"/>
        </w:rPr>
        <w:t xml:space="preserve">those distribution </w:t>
      </w:r>
      <w:r w:rsidRPr="004B1F71">
        <w:rPr>
          <w:rFonts w:eastAsia="Times New Roman"/>
        </w:rPr>
        <w:t>mechanisms</w:t>
      </w:r>
      <w:r>
        <w:rPr>
          <w:rFonts w:eastAsia="Times New Roman"/>
        </w:rPr>
        <w:t xml:space="preserve"> were considered and </w:t>
      </w:r>
      <w:r w:rsidRPr="004B1F71">
        <w:rPr>
          <w:rFonts w:eastAsia="Times New Roman"/>
        </w:rPr>
        <w:t>we develop</w:t>
      </w:r>
      <w:r>
        <w:rPr>
          <w:rFonts w:eastAsia="Times New Roman"/>
        </w:rPr>
        <w:t>ed a new framework</w:t>
      </w:r>
      <w:r w:rsidRPr="004B1F71">
        <w:rPr>
          <w:rFonts w:eastAsia="Times New Roman"/>
        </w:rPr>
        <w:t xml:space="preserve"> allocation system called </w:t>
      </w:r>
      <w:r>
        <w:rPr>
          <w:rFonts w:eastAsia="Times New Roman"/>
        </w:rPr>
        <w:t xml:space="preserve">the </w:t>
      </w:r>
      <w:proofErr w:type="spellStart"/>
      <w:r w:rsidRPr="00B311F6">
        <w:rPr>
          <w:rFonts w:eastAsia="Times New Roman"/>
        </w:rPr>
        <w:t>BrenSAP</w:t>
      </w:r>
      <w:proofErr w:type="spellEnd"/>
      <w:r>
        <w:rPr>
          <w:rFonts w:eastAsia="Times New Roman"/>
        </w:rPr>
        <w:t xml:space="preserve">. The </w:t>
      </w:r>
      <w:proofErr w:type="spellStart"/>
      <w:r>
        <w:rPr>
          <w:rFonts w:eastAsia="Times New Roman"/>
        </w:rPr>
        <w:t>BrenSAP</w:t>
      </w:r>
      <w:proofErr w:type="spellEnd"/>
      <w:r w:rsidRPr="004B1F71">
        <w:rPr>
          <w:rFonts w:eastAsia="Times New Roman"/>
        </w:rPr>
        <w:t xml:space="preserve"> method</w:t>
      </w:r>
      <w:r>
        <w:rPr>
          <w:rFonts w:eastAsia="Times New Roman"/>
        </w:rPr>
        <w:t xml:space="preserve"> addresses the disincentives for conservation of the WSAP by combining</w:t>
      </w:r>
      <w:r w:rsidRPr="004B1F71">
        <w:rPr>
          <w:rFonts w:eastAsia="Times New Roman"/>
        </w:rPr>
        <w:t xml:space="preserve"> historical use benchmarks, </w:t>
      </w:r>
      <w:r w:rsidR="00C73DF8">
        <w:rPr>
          <w:rFonts w:eastAsia="Times New Roman"/>
        </w:rPr>
        <w:t xml:space="preserve">water use targets (as measured in gallons per capita per day, </w:t>
      </w:r>
      <w:proofErr w:type="spellStart"/>
      <w:r w:rsidRPr="004B1F71">
        <w:rPr>
          <w:rFonts w:eastAsia="Times New Roman"/>
        </w:rPr>
        <w:t>gpcd</w:t>
      </w:r>
      <w:proofErr w:type="spellEnd"/>
      <w:r w:rsidR="00C73DF8">
        <w:rPr>
          <w:rFonts w:eastAsia="Times New Roman"/>
        </w:rPr>
        <w:t>)</w:t>
      </w:r>
      <w:r w:rsidRPr="004B1F71">
        <w:rPr>
          <w:rFonts w:eastAsia="Times New Roman"/>
        </w:rPr>
        <w:t>, and the assignment of shares with associated use rights to promote conservation an</w:t>
      </w:r>
      <w:r>
        <w:rPr>
          <w:rFonts w:eastAsia="Times New Roman"/>
        </w:rPr>
        <w:t>d efficiently distribute water.</w:t>
      </w:r>
    </w:p>
    <w:p w14:paraId="0DEE4F8F" w14:textId="6D0458A0" w:rsidR="007B7741" w:rsidRDefault="005D6386" w:rsidP="007B7741">
      <w:pPr>
        <w:rPr>
          <w:rFonts w:eastAsia="Times New Roman"/>
        </w:rPr>
      </w:pPr>
      <w:r>
        <w:rPr>
          <w:rFonts w:eastAsia="Times New Roman"/>
        </w:rPr>
        <w:t xml:space="preserve">The </w:t>
      </w:r>
      <w:proofErr w:type="spellStart"/>
      <w:r>
        <w:rPr>
          <w:rFonts w:eastAsia="Times New Roman"/>
        </w:rPr>
        <w:t>BrenSAP</w:t>
      </w:r>
      <w:proofErr w:type="spellEnd"/>
      <w:r>
        <w:rPr>
          <w:rFonts w:eastAsia="Times New Roman"/>
        </w:rPr>
        <w:t xml:space="preserve"> was also assembled using</w:t>
      </w:r>
      <w:r w:rsidR="007B7741">
        <w:rPr>
          <w:rFonts w:eastAsia="Times New Roman"/>
        </w:rPr>
        <w:t xml:space="preserve"> estimates for each Met member agency’s water demand, population, </w:t>
      </w:r>
      <w:r w:rsidR="00C73DF8">
        <w:rPr>
          <w:rFonts w:eastAsia="Times New Roman"/>
        </w:rPr>
        <w:t>water use (</w:t>
      </w:r>
      <w:proofErr w:type="spellStart"/>
      <w:r w:rsidR="007B7741">
        <w:rPr>
          <w:rFonts w:eastAsia="Times New Roman"/>
        </w:rPr>
        <w:t>gpcd</w:t>
      </w:r>
      <w:proofErr w:type="spellEnd"/>
      <w:r w:rsidR="00C73DF8">
        <w:rPr>
          <w:rFonts w:eastAsia="Times New Roman"/>
        </w:rPr>
        <w:t>)</w:t>
      </w:r>
      <w:r w:rsidR="007B7741">
        <w:rPr>
          <w:rFonts w:eastAsia="Times New Roman"/>
        </w:rPr>
        <w:t xml:space="preserve">, and factors relevant to determining allocation as with the WSAP. Similarly, the </w:t>
      </w:r>
      <w:proofErr w:type="spellStart"/>
      <w:r w:rsidR="007B7741">
        <w:rPr>
          <w:rFonts w:eastAsia="Times New Roman"/>
        </w:rPr>
        <w:t>BrenSAP</w:t>
      </w:r>
      <w:proofErr w:type="spellEnd"/>
      <w:r w:rsidR="007B7741">
        <w:rPr>
          <w:rFonts w:eastAsia="Times New Roman"/>
        </w:rPr>
        <w:t xml:space="preserve"> was tested for differing agencies, under differing intensities of water use and shortage severity, and the results compared to the previous WSAP testing results.</w:t>
      </w:r>
    </w:p>
    <w:p w14:paraId="0A6ED4A7" w14:textId="1498355F" w:rsidR="007B7741" w:rsidRDefault="007B7741" w:rsidP="007B7741">
      <w:pPr>
        <w:rPr>
          <w:rFonts w:eastAsia="Times New Roman"/>
        </w:rPr>
      </w:pPr>
      <w:r>
        <w:rPr>
          <w:rFonts w:eastAsia="Times New Roman"/>
        </w:rPr>
        <w:t xml:space="preserve">Testing the </w:t>
      </w:r>
      <w:proofErr w:type="spellStart"/>
      <w:r>
        <w:rPr>
          <w:rFonts w:eastAsia="Times New Roman"/>
        </w:rPr>
        <w:t>BrenSAP</w:t>
      </w:r>
      <w:proofErr w:type="spellEnd"/>
      <w:r>
        <w:rPr>
          <w:rFonts w:eastAsia="Times New Roman"/>
        </w:rPr>
        <w:t xml:space="preserve"> revealed that this alternative system of allocation provided incentive for conservation. In using a historical use benchmark from which to establish an agency’s allocation, we created a measuring stick by which to gage water use. Conservation actions over time and the resultant improvements in water use then benefit an agency by creating a surplus quantity of water that may be claimed by the agency</w:t>
      </w:r>
      <w:r w:rsidR="005D6386">
        <w:rPr>
          <w:rFonts w:eastAsia="Times New Roman"/>
        </w:rPr>
        <w:t xml:space="preserve"> as a tradable use right</w:t>
      </w:r>
      <w:r>
        <w:rPr>
          <w:rFonts w:eastAsia="Times New Roman"/>
        </w:rPr>
        <w:t xml:space="preserve">. In addition, the inclusion of associated use rights for the conserved water creates added benefit by creating opportunities for an agency that previously did not exist. For agencies with surplus allocation, they could </w:t>
      </w:r>
      <w:r>
        <w:rPr>
          <w:rFonts w:eastAsia="Times New Roman"/>
        </w:rPr>
        <w:lastRenderedPageBreak/>
        <w:t>have the option to sell that surplus to other agencies, store the surplus for future years, or provide that water to new u</w:t>
      </w:r>
      <w:r w:rsidR="005D6386">
        <w:rPr>
          <w:rFonts w:eastAsia="Times New Roman"/>
        </w:rPr>
        <w:t>sers within the agency service area</w:t>
      </w:r>
      <w:r>
        <w:rPr>
          <w:rFonts w:eastAsia="Times New Roman"/>
        </w:rPr>
        <w:t>. Furthermore, given that the opportunities for conservation will vary depending on an agency’s preferred water use, their local conditions and alternative supply options, and their costs of conservation, the use rights associated with an allocation provide an opportunity for an agency to seek conservation through subsidizing another agency at a cost less than they would have to pay had they</w:t>
      </w:r>
      <w:r w:rsidR="005D6386">
        <w:rPr>
          <w:rFonts w:eastAsia="Times New Roman"/>
        </w:rPr>
        <w:t xml:space="preserve"> conserved on their own. Agencie</w:t>
      </w:r>
      <w:r>
        <w:rPr>
          <w:rFonts w:eastAsia="Times New Roman"/>
        </w:rPr>
        <w:t xml:space="preserve">s that can conserve more are encouraged </w:t>
      </w:r>
      <w:r w:rsidR="005D6386">
        <w:rPr>
          <w:rFonts w:eastAsia="Times New Roman"/>
        </w:rPr>
        <w:t xml:space="preserve">to do so </w:t>
      </w:r>
      <w:r>
        <w:rPr>
          <w:rFonts w:eastAsia="Times New Roman"/>
        </w:rPr>
        <w:t xml:space="preserve">and rewarded in profit by those agencies where conservation is </w:t>
      </w:r>
      <w:r w:rsidR="005D6386">
        <w:rPr>
          <w:rFonts w:eastAsia="Times New Roman"/>
        </w:rPr>
        <w:t xml:space="preserve">more </w:t>
      </w:r>
      <w:r>
        <w:rPr>
          <w:rFonts w:eastAsia="Times New Roman"/>
        </w:rPr>
        <w:t xml:space="preserve">locally cost prohibitive. The alternative allocation method of the </w:t>
      </w:r>
      <w:proofErr w:type="spellStart"/>
      <w:r>
        <w:rPr>
          <w:rFonts w:eastAsia="Times New Roman"/>
        </w:rPr>
        <w:t>BrenSAP</w:t>
      </w:r>
      <w:proofErr w:type="spellEnd"/>
      <w:r>
        <w:rPr>
          <w:rFonts w:eastAsia="Times New Roman"/>
        </w:rPr>
        <w:t xml:space="preserve"> therefore motivates conservation, and provides benefits to both individual agencies and the system as a whole.</w:t>
      </w:r>
    </w:p>
    <w:p w14:paraId="58E0CAE1" w14:textId="77777777" w:rsidR="007B7741" w:rsidRDefault="007B7741" w:rsidP="007B7741">
      <w:pPr>
        <w:rPr>
          <w:rFonts w:eastAsia="Times New Roman"/>
        </w:rPr>
      </w:pPr>
      <w:r>
        <w:rPr>
          <w:rFonts w:eastAsia="Times New Roman"/>
        </w:rPr>
        <w:t>The available opportunities for trade and subsequent outcomes are dependent upon a number of conditions, rules, and mechanisms to facilitate transactions. Although exploring the outcomes of these different potential market rules was beyond the scope of this project, we</w:t>
      </w:r>
      <w:r w:rsidRPr="006C3B22">
        <w:rPr>
          <w:rFonts w:eastAsia="Times New Roman"/>
        </w:rPr>
        <w:t xml:space="preserve"> </w:t>
      </w:r>
      <w:r>
        <w:rPr>
          <w:rFonts w:eastAsia="Times New Roman"/>
        </w:rPr>
        <w:t>concluded our analysis by developing</w:t>
      </w:r>
      <w:r w:rsidRPr="006C3B22">
        <w:rPr>
          <w:rFonts w:eastAsia="Times New Roman"/>
        </w:rPr>
        <w:t xml:space="preserve"> a flow path of critical components and considerations that would need to be address</w:t>
      </w:r>
      <w:r>
        <w:rPr>
          <w:rFonts w:eastAsia="Times New Roman"/>
        </w:rPr>
        <w:t>ed to enable trade</w:t>
      </w:r>
      <w:r w:rsidRPr="006C3B22">
        <w:rPr>
          <w:rFonts w:eastAsia="Times New Roman"/>
        </w:rPr>
        <w:t xml:space="preserve"> among Met member agencies.</w:t>
      </w:r>
    </w:p>
    <w:p w14:paraId="4C4A1CCB" w14:textId="3A1F3E6D" w:rsidR="007B7741" w:rsidRDefault="007B7741" w:rsidP="007B7741">
      <w:r>
        <w:t xml:space="preserve">Our exploration of conservation scenarios illustrates that under the status quo, agencies are better off </w:t>
      </w:r>
      <w:r w:rsidRPr="00E2637C">
        <w:rPr>
          <w:i/>
        </w:rPr>
        <w:t>increasing</w:t>
      </w:r>
      <w:r>
        <w:t xml:space="preserve"> their water demand in advance of a drought in order to secure a larger share of supply during a shortage, rather than conserving water to prepare for when supplies are limited. Ironically, this behavior can actually increase the probability that the system will go into shortage and may also the increase the shortage level</w:t>
      </w:r>
      <w:r w:rsidR="005D6386">
        <w:t xml:space="preserve"> forcing Met to secure costly outside supplies</w:t>
      </w:r>
      <w:r>
        <w:t xml:space="preserve">. From the perspective of conservation, the </w:t>
      </w:r>
      <w:proofErr w:type="spellStart"/>
      <w:r>
        <w:t>BrenSAP</w:t>
      </w:r>
      <w:proofErr w:type="spellEnd"/>
      <w:r>
        <w:t xml:space="preserve"> system appears to provide a number of advantages over the current WSAP used</w:t>
      </w:r>
      <w:r w:rsidR="00DF236E">
        <w:t xml:space="preserve"> by Met. The </w:t>
      </w:r>
      <w:proofErr w:type="spellStart"/>
      <w:r w:rsidR="00DF236E">
        <w:t>BrenSAP</w:t>
      </w:r>
      <w:proofErr w:type="spellEnd"/>
      <w:r w:rsidR="00DF236E">
        <w:t xml:space="preserve"> incentivize</w:t>
      </w:r>
      <w:r>
        <w:t>s conservation, not just in times of drought, but during all supply conditions. As more agencies proactively manage their demand, there is greater potential for Met to avoid instituting a shortage allocation plan, or if they do, reduce the severity of the required reductions.</w:t>
      </w:r>
    </w:p>
    <w:p w14:paraId="523F72A2" w14:textId="77777777" w:rsidR="007B7741" w:rsidRDefault="007B7741" w:rsidP="007B7741">
      <w:r>
        <w:t xml:space="preserve">The </w:t>
      </w:r>
      <w:proofErr w:type="spellStart"/>
      <w:r>
        <w:t>BrenSAP</w:t>
      </w:r>
      <w:proofErr w:type="spellEnd"/>
      <w:r>
        <w:t xml:space="preserve"> allocation system illustrates some of the benefits that could be found in applying a new method for distributing and managing water. However, our process is only a rough sketch for what might be done through allocating water to promote conservation. While we present a conceptual example of how two agencies may interact, a more predictive look at the full range of interaction between all Met member agencies is subject to many complex and highly dynamic </w:t>
      </w:r>
      <w:r>
        <w:lastRenderedPageBreak/>
        <w:t>variables. The ability of an agency to secure the benefits of their conservation will depend on that agency’s costs of conservation, the other Met member agencies’ costs of conservation, the prices of water established by Met, the design of the allocation system, and the constraints imposed by the market platform structure and conditions of trade.</w:t>
      </w:r>
    </w:p>
    <w:p w14:paraId="671D975A" w14:textId="354FAF22" w:rsidR="007B7741" w:rsidRDefault="008653DB" w:rsidP="007B7741">
      <w:r>
        <w:t>The alternative system</w:t>
      </w:r>
      <w:r w:rsidR="007B7741">
        <w:t xml:space="preserve"> we outline in this docu</w:t>
      </w:r>
      <w:r>
        <w:t>ment is not intended to be the only possible solution; rather, we</w:t>
      </w:r>
      <w:r w:rsidR="007B7741">
        <w:t xml:space="preserve"> hope </w:t>
      </w:r>
      <w:r>
        <w:t>to</w:t>
      </w:r>
      <w:r w:rsidR="007B7741">
        <w:t xml:space="preserve"> stimulate dialogue and creative th</w:t>
      </w:r>
      <w:r>
        <w:t>inking in how to respond to this</w:t>
      </w:r>
      <w:r w:rsidR="007B7741">
        <w:t xml:space="preserve"> issue. Thr</w:t>
      </w:r>
      <w:r w:rsidR="00903B2F">
        <w:t>ough our research, we identify</w:t>
      </w:r>
      <w:r w:rsidR="007B7741">
        <w:t xml:space="preserve"> </w:t>
      </w:r>
      <w:r w:rsidR="00903B2F">
        <w:t>issues</w:t>
      </w:r>
      <w:r w:rsidR="007B7741">
        <w:t xml:space="preserve"> with the current system that appear</w:t>
      </w:r>
      <w:r w:rsidR="00903B2F">
        <w:t xml:space="preserve"> to limit conservation, review</w:t>
      </w:r>
      <w:r w:rsidR="007B7741">
        <w:t xml:space="preserve"> alternatives, and present a logical and reasonable approach to thinking about a specific question, which is how to design an allocation system that promotes conservation. Ultimately, the details of a change to the system will be the result of much more in-depth analysis, and negotiation among the parties involved and affected. </w:t>
      </w:r>
    </w:p>
    <w:p w14:paraId="5EC51D6B" w14:textId="3558B527" w:rsidR="007B7741" w:rsidRDefault="007B7741" w:rsidP="00D42668">
      <w:r>
        <w:t xml:space="preserve">The challenge for Southern California over the next century is to live within its current water supplies even as its population and economy grow. We now find ourselves in a new era of scarcity when water reliability will have to come from </w:t>
      </w:r>
      <w:r w:rsidR="00F436F1">
        <w:t>better managing our demand. As we design</w:t>
      </w:r>
      <w:r>
        <w:t xml:space="preserve"> systems to allocate our scarce water supplies, we therefore have to consider the incentives for conservation as a key component. Instituting a system that acknowledges and rewards conservation will therefore be critical</w:t>
      </w:r>
      <w:r w:rsidR="0013256E">
        <w:t xml:space="preserve"> to managing our water supplies</w:t>
      </w:r>
      <w:r w:rsidR="00A52E1A">
        <w:t>.</w:t>
      </w:r>
    </w:p>
    <w:p w14:paraId="6828F71C" w14:textId="77777777" w:rsidR="00B379B0" w:rsidRDefault="00B379B0">
      <w:pPr>
        <w:spacing w:line="259" w:lineRule="auto"/>
        <w:rPr>
          <w:rFonts w:asciiTheme="majorHAnsi" w:eastAsiaTheme="majorEastAsia" w:hAnsiTheme="majorHAnsi" w:cstheme="majorBidi"/>
          <w:caps/>
          <w:sz w:val="36"/>
          <w:szCs w:val="36"/>
        </w:rPr>
      </w:pPr>
      <w:r>
        <w:br w:type="page"/>
      </w:r>
    </w:p>
    <w:p w14:paraId="69AFEDB1" w14:textId="17F68A6B" w:rsidR="00163EE1" w:rsidRDefault="007B6ECE" w:rsidP="00A21BB3">
      <w:pPr>
        <w:pStyle w:val="Heading0"/>
      </w:pPr>
      <w:bookmarkStart w:id="3" w:name="_Toc416611288"/>
      <w:r>
        <w:lastRenderedPageBreak/>
        <w:t>Table of Contents</w:t>
      </w:r>
      <w:bookmarkEnd w:id="3"/>
    </w:p>
    <w:p w14:paraId="03463437" w14:textId="77777777" w:rsidR="00F436F1" w:rsidRDefault="006B4680">
      <w:pPr>
        <w:pStyle w:val="TOC1"/>
        <w:tabs>
          <w:tab w:val="right" w:leader="dot" w:pos="8270"/>
        </w:tabs>
        <w:rPr>
          <w:noProof/>
          <w:sz w:val="22"/>
        </w:rPr>
      </w:pPr>
      <w:r>
        <w:fldChar w:fldCharType="begin"/>
      </w:r>
      <w:r>
        <w:instrText xml:space="preserve"> TOC \o "1-2" \h \z \u </w:instrText>
      </w:r>
      <w:r>
        <w:fldChar w:fldCharType="separate"/>
      </w:r>
      <w:hyperlink w:anchor="_Toc416611286" w:history="1">
        <w:r w:rsidR="00F436F1" w:rsidRPr="00CE6078">
          <w:rPr>
            <w:rStyle w:val="Hyperlink"/>
            <w:noProof/>
          </w:rPr>
          <w:t>Abstract</w:t>
        </w:r>
        <w:r w:rsidR="00F436F1">
          <w:rPr>
            <w:noProof/>
            <w:webHidden/>
          </w:rPr>
          <w:tab/>
        </w:r>
        <w:r w:rsidR="00F436F1">
          <w:rPr>
            <w:noProof/>
            <w:webHidden/>
          </w:rPr>
          <w:fldChar w:fldCharType="begin"/>
        </w:r>
        <w:r w:rsidR="00F436F1">
          <w:rPr>
            <w:noProof/>
            <w:webHidden/>
          </w:rPr>
          <w:instrText xml:space="preserve"> PAGEREF _Toc416611286 \h </w:instrText>
        </w:r>
        <w:r w:rsidR="00F436F1">
          <w:rPr>
            <w:noProof/>
            <w:webHidden/>
          </w:rPr>
        </w:r>
        <w:r w:rsidR="00F436F1">
          <w:rPr>
            <w:noProof/>
            <w:webHidden/>
          </w:rPr>
          <w:fldChar w:fldCharType="separate"/>
        </w:r>
        <w:r w:rsidR="00F436F1">
          <w:rPr>
            <w:noProof/>
            <w:webHidden/>
          </w:rPr>
          <w:t>iii</w:t>
        </w:r>
        <w:r w:rsidR="00F436F1">
          <w:rPr>
            <w:noProof/>
            <w:webHidden/>
          </w:rPr>
          <w:fldChar w:fldCharType="end"/>
        </w:r>
      </w:hyperlink>
    </w:p>
    <w:p w14:paraId="374DDB60" w14:textId="77777777" w:rsidR="00F436F1" w:rsidRDefault="00DF236E">
      <w:pPr>
        <w:pStyle w:val="TOC1"/>
        <w:tabs>
          <w:tab w:val="right" w:leader="dot" w:pos="8270"/>
        </w:tabs>
        <w:rPr>
          <w:noProof/>
          <w:sz w:val="22"/>
        </w:rPr>
      </w:pPr>
      <w:hyperlink w:anchor="_Toc416611287" w:history="1">
        <w:r w:rsidR="00F436F1" w:rsidRPr="00CE6078">
          <w:rPr>
            <w:rStyle w:val="Hyperlink"/>
            <w:noProof/>
          </w:rPr>
          <w:t>Executive Summary</w:t>
        </w:r>
        <w:r w:rsidR="00F436F1">
          <w:rPr>
            <w:noProof/>
            <w:webHidden/>
          </w:rPr>
          <w:tab/>
        </w:r>
        <w:r w:rsidR="00F436F1">
          <w:rPr>
            <w:noProof/>
            <w:webHidden/>
          </w:rPr>
          <w:fldChar w:fldCharType="begin"/>
        </w:r>
        <w:r w:rsidR="00F436F1">
          <w:rPr>
            <w:noProof/>
            <w:webHidden/>
          </w:rPr>
          <w:instrText xml:space="preserve"> PAGEREF _Toc416611287 \h </w:instrText>
        </w:r>
        <w:r w:rsidR="00F436F1">
          <w:rPr>
            <w:noProof/>
            <w:webHidden/>
          </w:rPr>
        </w:r>
        <w:r w:rsidR="00F436F1">
          <w:rPr>
            <w:noProof/>
            <w:webHidden/>
          </w:rPr>
          <w:fldChar w:fldCharType="separate"/>
        </w:r>
        <w:r w:rsidR="00F436F1">
          <w:rPr>
            <w:noProof/>
            <w:webHidden/>
          </w:rPr>
          <w:t>iv</w:t>
        </w:r>
        <w:r w:rsidR="00F436F1">
          <w:rPr>
            <w:noProof/>
            <w:webHidden/>
          </w:rPr>
          <w:fldChar w:fldCharType="end"/>
        </w:r>
      </w:hyperlink>
    </w:p>
    <w:p w14:paraId="40E5D0F6" w14:textId="77777777" w:rsidR="00F436F1" w:rsidRDefault="00DF236E">
      <w:pPr>
        <w:pStyle w:val="TOC1"/>
        <w:tabs>
          <w:tab w:val="right" w:leader="dot" w:pos="8270"/>
        </w:tabs>
        <w:rPr>
          <w:noProof/>
          <w:sz w:val="22"/>
        </w:rPr>
      </w:pPr>
      <w:hyperlink w:anchor="_Toc416611288" w:history="1">
        <w:r w:rsidR="00F436F1" w:rsidRPr="00CE6078">
          <w:rPr>
            <w:rStyle w:val="Hyperlink"/>
            <w:noProof/>
          </w:rPr>
          <w:t>Table of Contents</w:t>
        </w:r>
        <w:r w:rsidR="00F436F1">
          <w:rPr>
            <w:noProof/>
            <w:webHidden/>
          </w:rPr>
          <w:tab/>
        </w:r>
        <w:r w:rsidR="00F436F1">
          <w:rPr>
            <w:noProof/>
            <w:webHidden/>
          </w:rPr>
          <w:fldChar w:fldCharType="begin"/>
        </w:r>
        <w:r w:rsidR="00F436F1">
          <w:rPr>
            <w:noProof/>
            <w:webHidden/>
          </w:rPr>
          <w:instrText xml:space="preserve"> PAGEREF _Toc416611288 \h </w:instrText>
        </w:r>
        <w:r w:rsidR="00F436F1">
          <w:rPr>
            <w:noProof/>
            <w:webHidden/>
          </w:rPr>
        </w:r>
        <w:r w:rsidR="00F436F1">
          <w:rPr>
            <w:noProof/>
            <w:webHidden/>
          </w:rPr>
          <w:fldChar w:fldCharType="separate"/>
        </w:r>
        <w:r w:rsidR="00F436F1">
          <w:rPr>
            <w:noProof/>
            <w:webHidden/>
          </w:rPr>
          <w:t>x</w:t>
        </w:r>
        <w:r w:rsidR="00F436F1">
          <w:rPr>
            <w:noProof/>
            <w:webHidden/>
          </w:rPr>
          <w:fldChar w:fldCharType="end"/>
        </w:r>
      </w:hyperlink>
    </w:p>
    <w:p w14:paraId="4B8E4B1A" w14:textId="77777777" w:rsidR="00F436F1" w:rsidRDefault="00DF236E">
      <w:pPr>
        <w:pStyle w:val="TOC1"/>
        <w:tabs>
          <w:tab w:val="right" w:leader="dot" w:pos="8270"/>
        </w:tabs>
        <w:rPr>
          <w:noProof/>
          <w:sz w:val="22"/>
        </w:rPr>
      </w:pPr>
      <w:hyperlink w:anchor="_Toc416611289" w:history="1">
        <w:r w:rsidR="00F436F1" w:rsidRPr="00CE6078">
          <w:rPr>
            <w:rStyle w:val="Hyperlink"/>
            <w:noProof/>
          </w:rPr>
          <w:t>Table of Figures</w:t>
        </w:r>
        <w:r w:rsidR="00F436F1">
          <w:rPr>
            <w:noProof/>
            <w:webHidden/>
          </w:rPr>
          <w:tab/>
        </w:r>
        <w:r w:rsidR="00F436F1">
          <w:rPr>
            <w:noProof/>
            <w:webHidden/>
          </w:rPr>
          <w:fldChar w:fldCharType="begin"/>
        </w:r>
        <w:r w:rsidR="00F436F1">
          <w:rPr>
            <w:noProof/>
            <w:webHidden/>
          </w:rPr>
          <w:instrText xml:space="preserve"> PAGEREF _Toc416611289 \h </w:instrText>
        </w:r>
        <w:r w:rsidR="00F436F1">
          <w:rPr>
            <w:noProof/>
            <w:webHidden/>
          </w:rPr>
        </w:r>
        <w:r w:rsidR="00F436F1">
          <w:rPr>
            <w:noProof/>
            <w:webHidden/>
          </w:rPr>
          <w:fldChar w:fldCharType="separate"/>
        </w:r>
        <w:r w:rsidR="00F436F1">
          <w:rPr>
            <w:noProof/>
            <w:webHidden/>
          </w:rPr>
          <w:t>12</w:t>
        </w:r>
        <w:r w:rsidR="00F436F1">
          <w:rPr>
            <w:noProof/>
            <w:webHidden/>
          </w:rPr>
          <w:fldChar w:fldCharType="end"/>
        </w:r>
      </w:hyperlink>
    </w:p>
    <w:p w14:paraId="2CE40734" w14:textId="77777777" w:rsidR="00F436F1" w:rsidRDefault="00DF236E">
      <w:pPr>
        <w:pStyle w:val="TOC1"/>
        <w:tabs>
          <w:tab w:val="left" w:pos="440"/>
          <w:tab w:val="right" w:leader="dot" w:pos="8270"/>
        </w:tabs>
        <w:rPr>
          <w:noProof/>
          <w:sz w:val="22"/>
        </w:rPr>
      </w:pPr>
      <w:hyperlink w:anchor="_Toc416611290" w:history="1">
        <w:r w:rsidR="00F436F1" w:rsidRPr="00CE6078">
          <w:rPr>
            <w:rStyle w:val="Hyperlink"/>
            <w:noProof/>
          </w:rPr>
          <w:t>1.</w:t>
        </w:r>
        <w:r w:rsidR="00F436F1">
          <w:rPr>
            <w:noProof/>
            <w:sz w:val="22"/>
          </w:rPr>
          <w:tab/>
        </w:r>
        <w:r w:rsidR="00F436F1" w:rsidRPr="00CE6078">
          <w:rPr>
            <w:rStyle w:val="Hyperlink"/>
            <w:noProof/>
          </w:rPr>
          <w:t>Introduction</w:t>
        </w:r>
        <w:r w:rsidR="00F436F1">
          <w:rPr>
            <w:noProof/>
            <w:webHidden/>
          </w:rPr>
          <w:tab/>
        </w:r>
        <w:r w:rsidR="00F436F1">
          <w:rPr>
            <w:noProof/>
            <w:webHidden/>
          </w:rPr>
          <w:fldChar w:fldCharType="begin"/>
        </w:r>
        <w:r w:rsidR="00F436F1">
          <w:rPr>
            <w:noProof/>
            <w:webHidden/>
          </w:rPr>
          <w:instrText xml:space="preserve"> PAGEREF _Toc416611290 \h </w:instrText>
        </w:r>
        <w:r w:rsidR="00F436F1">
          <w:rPr>
            <w:noProof/>
            <w:webHidden/>
          </w:rPr>
        </w:r>
        <w:r w:rsidR="00F436F1">
          <w:rPr>
            <w:noProof/>
            <w:webHidden/>
          </w:rPr>
          <w:fldChar w:fldCharType="separate"/>
        </w:r>
        <w:r w:rsidR="00F436F1">
          <w:rPr>
            <w:noProof/>
            <w:webHidden/>
          </w:rPr>
          <w:t>13</w:t>
        </w:r>
        <w:r w:rsidR="00F436F1">
          <w:rPr>
            <w:noProof/>
            <w:webHidden/>
          </w:rPr>
          <w:fldChar w:fldCharType="end"/>
        </w:r>
      </w:hyperlink>
    </w:p>
    <w:p w14:paraId="42F518CD" w14:textId="77777777" w:rsidR="00F436F1" w:rsidRDefault="00DF236E">
      <w:pPr>
        <w:pStyle w:val="TOC2"/>
        <w:tabs>
          <w:tab w:val="left" w:pos="880"/>
          <w:tab w:val="right" w:leader="dot" w:pos="8270"/>
        </w:tabs>
        <w:rPr>
          <w:noProof/>
          <w:sz w:val="22"/>
        </w:rPr>
      </w:pPr>
      <w:hyperlink w:anchor="_Toc416611291" w:history="1">
        <w:r w:rsidR="00F436F1" w:rsidRPr="00CE6078">
          <w:rPr>
            <w:rStyle w:val="Hyperlink"/>
            <w:noProof/>
          </w:rPr>
          <w:t>1.1</w:t>
        </w:r>
        <w:r w:rsidR="00F436F1">
          <w:rPr>
            <w:noProof/>
            <w:sz w:val="22"/>
          </w:rPr>
          <w:tab/>
        </w:r>
        <w:r w:rsidR="00F436F1" w:rsidRPr="00CE6078">
          <w:rPr>
            <w:rStyle w:val="Hyperlink"/>
            <w:noProof/>
          </w:rPr>
          <w:t>Project Description</w:t>
        </w:r>
        <w:r w:rsidR="00F436F1">
          <w:rPr>
            <w:noProof/>
            <w:webHidden/>
          </w:rPr>
          <w:tab/>
        </w:r>
        <w:r w:rsidR="00F436F1">
          <w:rPr>
            <w:noProof/>
            <w:webHidden/>
          </w:rPr>
          <w:fldChar w:fldCharType="begin"/>
        </w:r>
        <w:r w:rsidR="00F436F1">
          <w:rPr>
            <w:noProof/>
            <w:webHidden/>
          </w:rPr>
          <w:instrText xml:space="preserve"> PAGEREF _Toc416611291 \h </w:instrText>
        </w:r>
        <w:r w:rsidR="00F436F1">
          <w:rPr>
            <w:noProof/>
            <w:webHidden/>
          </w:rPr>
        </w:r>
        <w:r w:rsidR="00F436F1">
          <w:rPr>
            <w:noProof/>
            <w:webHidden/>
          </w:rPr>
          <w:fldChar w:fldCharType="separate"/>
        </w:r>
        <w:r w:rsidR="00F436F1">
          <w:rPr>
            <w:noProof/>
            <w:webHidden/>
          </w:rPr>
          <w:t>14</w:t>
        </w:r>
        <w:r w:rsidR="00F436F1">
          <w:rPr>
            <w:noProof/>
            <w:webHidden/>
          </w:rPr>
          <w:fldChar w:fldCharType="end"/>
        </w:r>
      </w:hyperlink>
    </w:p>
    <w:p w14:paraId="4FC5522E" w14:textId="77777777" w:rsidR="00F436F1" w:rsidRDefault="00DF236E">
      <w:pPr>
        <w:pStyle w:val="TOC2"/>
        <w:tabs>
          <w:tab w:val="left" w:pos="880"/>
          <w:tab w:val="right" w:leader="dot" w:pos="8270"/>
        </w:tabs>
        <w:rPr>
          <w:noProof/>
          <w:sz w:val="22"/>
        </w:rPr>
      </w:pPr>
      <w:hyperlink w:anchor="_Toc416611292" w:history="1">
        <w:r w:rsidR="00F436F1" w:rsidRPr="00CE6078">
          <w:rPr>
            <w:rStyle w:val="Hyperlink"/>
            <w:noProof/>
          </w:rPr>
          <w:t>1.2</w:t>
        </w:r>
        <w:r w:rsidR="00F436F1">
          <w:rPr>
            <w:noProof/>
            <w:sz w:val="22"/>
          </w:rPr>
          <w:tab/>
        </w:r>
        <w:r w:rsidR="00F436F1" w:rsidRPr="00CE6078">
          <w:rPr>
            <w:rStyle w:val="Hyperlink"/>
            <w:noProof/>
          </w:rPr>
          <w:t>Significance</w:t>
        </w:r>
        <w:r w:rsidR="00F436F1">
          <w:rPr>
            <w:noProof/>
            <w:webHidden/>
          </w:rPr>
          <w:tab/>
        </w:r>
        <w:r w:rsidR="00F436F1">
          <w:rPr>
            <w:noProof/>
            <w:webHidden/>
          </w:rPr>
          <w:fldChar w:fldCharType="begin"/>
        </w:r>
        <w:r w:rsidR="00F436F1">
          <w:rPr>
            <w:noProof/>
            <w:webHidden/>
          </w:rPr>
          <w:instrText xml:space="preserve"> PAGEREF _Toc416611292 \h </w:instrText>
        </w:r>
        <w:r w:rsidR="00F436F1">
          <w:rPr>
            <w:noProof/>
            <w:webHidden/>
          </w:rPr>
        </w:r>
        <w:r w:rsidR="00F436F1">
          <w:rPr>
            <w:noProof/>
            <w:webHidden/>
          </w:rPr>
          <w:fldChar w:fldCharType="separate"/>
        </w:r>
        <w:r w:rsidR="00F436F1">
          <w:rPr>
            <w:noProof/>
            <w:webHidden/>
          </w:rPr>
          <w:t>15</w:t>
        </w:r>
        <w:r w:rsidR="00F436F1">
          <w:rPr>
            <w:noProof/>
            <w:webHidden/>
          </w:rPr>
          <w:fldChar w:fldCharType="end"/>
        </w:r>
      </w:hyperlink>
    </w:p>
    <w:p w14:paraId="5FEE8327" w14:textId="77777777" w:rsidR="00F436F1" w:rsidRDefault="00DF236E">
      <w:pPr>
        <w:pStyle w:val="TOC1"/>
        <w:tabs>
          <w:tab w:val="left" w:pos="440"/>
          <w:tab w:val="right" w:leader="dot" w:pos="8270"/>
        </w:tabs>
        <w:rPr>
          <w:noProof/>
          <w:sz w:val="22"/>
        </w:rPr>
      </w:pPr>
      <w:hyperlink w:anchor="_Toc416611293" w:history="1">
        <w:r w:rsidR="00F436F1" w:rsidRPr="00CE6078">
          <w:rPr>
            <w:rStyle w:val="Hyperlink"/>
            <w:noProof/>
          </w:rPr>
          <w:t>2.</w:t>
        </w:r>
        <w:r w:rsidR="00F436F1">
          <w:rPr>
            <w:noProof/>
            <w:sz w:val="22"/>
          </w:rPr>
          <w:tab/>
        </w:r>
        <w:r w:rsidR="00F436F1" w:rsidRPr="00CE6078">
          <w:rPr>
            <w:rStyle w:val="Hyperlink"/>
            <w:noProof/>
          </w:rPr>
          <w:t>Background</w:t>
        </w:r>
        <w:r w:rsidR="00F436F1">
          <w:rPr>
            <w:noProof/>
            <w:webHidden/>
          </w:rPr>
          <w:tab/>
        </w:r>
        <w:r w:rsidR="00F436F1">
          <w:rPr>
            <w:noProof/>
            <w:webHidden/>
          </w:rPr>
          <w:fldChar w:fldCharType="begin"/>
        </w:r>
        <w:r w:rsidR="00F436F1">
          <w:rPr>
            <w:noProof/>
            <w:webHidden/>
          </w:rPr>
          <w:instrText xml:space="preserve"> PAGEREF _Toc416611293 \h </w:instrText>
        </w:r>
        <w:r w:rsidR="00F436F1">
          <w:rPr>
            <w:noProof/>
            <w:webHidden/>
          </w:rPr>
        </w:r>
        <w:r w:rsidR="00F436F1">
          <w:rPr>
            <w:noProof/>
            <w:webHidden/>
          </w:rPr>
          <w:fldChar w:fldCharType="separate"/>
        </w:r>
        <w:r w:rsidR="00F436F1">
          <w:rPr>
            <w:noProof/>
            <w:webHidden/>
          </w:rPr>
          <w:t>16</w:t>
        </w:r>
        <w:r w:rsidR="00F436F1">
          <w:rPr>
            <w:noProof/>
            <w:webHidden/>
          </w:rPr>
          <w:fldChar w:fldCharType="end"/>
        </w:r>
      </w:hyperlink>
    </w:p>
    <w:p w14:paraId="5C2A6434" w14:textId="77777777" w:rsidR="00F436F1" w:rsidRDefault="00DF236E">
      <w:pPr>
        <w:pStyle w:val="TOC2"/>
        <w:tabs>
          <w:tab w:val="left" w:pos="880"/>
          <w:tab w:val="right" w:leader="dot" w:pos="8270"/>
        </w:tabs>
        <w:rPr>
          <w:noProof/>
          <w:sz w:val="22"/>
        </w:rPr>
      </w:pPr>
      <w:hyperlink w:anchor="_Toc416611294" w:history="1">
        <w:r w:rsidR="00F436F1" w:rsidRPr="00CE6078">
          <w:rPr>
            <w:rStyle w:val="Hyperlink"/>
            <w:noProof/>
          </w:rPr>
          <w:t>2.1</w:t>
        </w:r>
        <w:r w:rsidR="00F436F1">
          <w:rPr>
            <w:noProof/>
            <w:sz w:val="22"/>
          </w:rPr>
          <w:tab/>
        </w:r>
        <w:r w:rsidR="00F436F1" w:rsidRPr="00CE6078">
          <w:rPr>
            <w:rStyle w:val="Hyperlink"/>
            <w:noProof/>
          </w:rPr>
          <w:t>California Drought</w:t>
        </w:r>
        <w:r w:rsidR="00F436F1">
          <w:rPr>
            <w:noProof/>
            <w:webHidden/>
          </w:rPr>
          <w:tab/>
        </w:r>
        <w:r w:rsidR="00F436F1">
          <w:rPr>
            <w:noProof/>
            <w:webHidden/>
          </w:rPr>
          <w:fldChar w:fldCharType="begin"/>
        </w:r>
        <w:r w:rsidR="00F436F1">
          <w:rPr>
            <w:noProof/>
            <w:webHidden/>
          </w:rPr>
          <w:instrText xml:space="preserve"> PAGEREF _Toc416611294 \h </w:instrText>
        </w:r>
        <w:r w:rsidR="00F436F1">
          <w:rPr>
            <w:noProof/>
            <w:webHidden/>
          </w:rPr>
        </w:r>
        <w:r w:rsidR="00F436F1">
          <w:rPr>
            <w:noProof/>
            <w:webHidden/>
          </w:rPr>
          <w:fldChar w:fldCharType="separate"/>
        </w:r>
        <w:r w:rsidR="00F436F1">
          <w:rPr>
            <w:noProof/>
            <w:webHidden/>
          </w:rPr>
          <w:t>16</w:t>
        </w:r>
        <w:r w:rsidR="00F436F1">
          <w:rPr>
            <w:noProof/>
            <w:webHidden/>
          </w:rPr>
          <w:fldChar w:fldCharType="end"/>
        </w:r>
      </w:hyperlink>
    </w:p>
    <w:p w14:paraId="61531474" w14:textId="77777777" w:rsidR="00F436F1" w:rsidRDefault="00DF236E">
      <w:pPr>
        <w:pStyle w:val="TOC2"/>
        <w:tabs>
          <w:tab w:val="left" w:pos="880"/>
          <w:tab w:val="right" w:leader="dot" w:pos="8270"/>
        </w:tabs>
        <w:rPr>
          <w:noProof/>
          <w:sz w:val="22"/>
        </w:rPr>
      </w:pPr>
      <w:hyperlink w:anchor="_Toc416611295" w:history="1">
        <w:r w:rsidR="00F436F1" w:rsidRPr="00CE6078">
          <w:rPr>
            <w:rStyle w:val="Hyperlink"/>
            <w:noProof/>
          </w:rPr>
          <w:t>2.2</w:t>
        </w:r>
        <w:r w:rsidR="00F436F1">
          <w:rPr>
            <w:noProof/>
            <w:sz w:val="22"/>
          </w:rPr>
          <w:tab/>
        </w:r>
        <w:r w:rsidR="00F436F1" w:rsidRPr="00CE6078">
          <w:rPr>
            <w:rStyle w:val="Hyperlink"/>
            <w:noProof/>
          </w:rPr>
          <w:t>The Metropolitan Water District of Southern California</w:t>
        </w:r>
        <w:r w:rsidR="00F436F1">
          <w:rPr>
            <w:noProof/>
            <w:webHidden/>
          </w:rPr>
          <w:tab/>
        </w:r>
        <w:r w:rsidR="00F436F1">
          <w:rPr>
            <w:noProof/>
            <w:webHidden/>
          </w:rPr>
          <w:fldChar w:fldCharType="begin"/>
        </w:r>
        <w:r w:rsidR="00F436F1">
          <w:rPr>
            <w:noProof/>
            <w:webHidden/>
          </w:rPr>
          <w:instrText xml:space="preserve"> PAGEREF _Toc416611295 \h </w:instrText>
        </w:r>
        <w:r w:rsidR="00F436F1">
          <w:rPr>
            <w:noProof/>
            <w:webHidden/>
          </w:rPr>
        </w:r>
        <w:r w:rsidR="00F436F1">
          <w:rPr>
            <w:noProof/>
            <w:webHidden/>
          </w:rPr>
          <w:fldChar w:fldCharType="separate"/>
        </w:r>
        <w:r w:rsidR="00F436F1">
          <w:rPr>
            <w:noProof/>
            <w:webHidden/>
          </w:rPr>
          <w:t>17</w:t>
        </w:r>
        <w:r w:rsidR="00F436F1">
          <w:rPr>
            <w:noProof/>
            <w:webHidden/>
          </w:rPr>
          <w:fldChar w:fldCharType="end"/>
        </w:r>
      </w:hyperlink>
    </w:p>
    <w:p w14:paraId="4B447FC1" w14:textId="77777777" w:rsidR="00F436F1" w:rsidRDefault="00DF236E">
      <w:pPr>
        <w:pStyle w:val="TOC2"/>
        <w:tabs>
          <w:tab w:val="left" w:pos="880"/>
          <w:tab w:val="right" w:leader="dot" w:pos="8270"/>
        </w:tabs>
        <w:rPr>
          <w:noProof/>
          <w:sz w:val="22"/>
        </w:rPr>
      </w:pPr>
      <w:hyperlink w:anchor="_Toc416611296" w:history="1">
        <w:r w:rsidR="00F436F1" w:rsidRPr="00CE6078">
          <w:rPr>
            <w:rStyle w:val="Hyperlink"/>
            <w:noProof/>
          </w:rPr>
          <w:t>2.3</w:t>
        </w:r>
        <w:r w:rsidR="00F436F1">
          <w:rPr>
            <w:noProof/>
            <w:sz w:val="22"/>
          </w:rPr>
          <w:tab/>
        </w:r>
        <w:r w:rsidR="00F436F1" w:rsidRPr="00CE6078">
          <w:rPr>
            <w:rStyle w:val="Hyperlink"/>
            <w:noProof/>
          </w:rPr>
          <w:t>Long Beach Water Department</w:t>
        </w:r>
        <w:r w:rsidR="00F436F1">
          <w:rPr>
            <w:noProof/>
            <w:webHidden/>
          </w:rPr>
          <w:tab/>
        </w:r>
        <w:r w:rsidR="00F436F1">
          <w:rPr>
            <w:noProof/>
            <w:webHidden/>
          </w:rPr>
          <w:fldChar w:fldCharType="begin"/>
        </w:r>
        <w:r w:rsidR="00F436F1">
          <w:rPr>
            <w:noProof/>
            <w:webHidden/>
          </w:rPr>
          <w:instrText xml:space="preserve"> PAGEREF _Toc416611296 \h </w:instrText>
        </w:r>
        <w:r w:rsidR="00F436F1">
          <w:rPr>
            <w:noProof/>
            <w:webHidden/>
          </w:rPr>
        </w:r>
        <w:r w:rsidR="00F436F1">
          <w:rPr>
            <w:noProof/>
            <w:webHidden/>
          </w:rPr>
          <w:fldChar w:fldCharType="separate"/>
        </w:r>
        <w:r w:rsidR="00F436F1">
          <w:rPr>
            <w:noProof/>
            <w:webHidden/>
          </w:rPr>
          <w:t>23</w:t>
        </w:r>
        <w:r w:rsidR="00F436F1">
          <w:rPr>
            <w:noProof/>
            <w:webHidden/>
          </w:rPr>
          <w:fldChar w:fldCharType="end"/>
        </w:r>
      </w:hyperlink>
    </w:p>
    <w:p w14:paraId="1DE5F23F" w14:textId="77777777" w:rsidR="00F436F1" w:rsidRDefault="00DF236E">
      <w:pPr>
        <w:pStyle w:val="TOC2"/>
        <w:tabs>
          <w:tab w:val="left" w:pos="880"/>
          <w:tab w:val="right" w:leader="dot" w:pos="8270"/>
        </w:tabs>
        <w:rPr>
          <w:noProof/>
          <w:sz w:val="22"/>
        </w:rPr>
      </w:pPr>
      <w:hyperlink w:anchor="_Toc416611297" w:history="1">
        <w:r w:rsidR="00F436F1" w:rsidRPr="00CE6078">
          <w:rPr>
            <w:rStyle w:val="Hyperlink"/>
            <w:noProof/>
          </w:rPr>
          <w:t>2.4</w:t>
        </w:r>
        <w:r w:rsidR="00F436F1">
          <w:rPr>
            <w:noProof/>
            <w:sz w:val="22"/>
          </w:rPr>
          <w:tab/>
        </w:r>
        <w:r w:rsidR="00F436F1" w:rsidRPr="00CE6078">
          <w:rPr>
            <w:rStyle w:val="Hyperlink"/>
            <w:noProof/>
          </w:rPr>
          <w:t>Motivating Water Conservation</w:t>
        </w:r>
        <w:r w:rsidR="00F436F1">
          <w:rPr>
            <w:noProof/>
            <w:webHidden/>
          </w:rPr>
          <w:tab/>
        </w:r>
        <w:r w:rsidR="00F436F1">
          <w:rPr>
            <w:noProof/>
            <w:webHidden/>
          </w:rPr>
          <w:fldChar w:fldCharType="begin"/>
        </w:r>
        <w:r w:rsidR="00F436F1">
          <w:rPr>
            <w:noProof/>
            <w:webHidden/>
          </w:rPr>
          <w:instrText xml:space="preserve"> PAGEREF _Toc416611297 \h </w:instrText>
        </w:r>
        <w:r w:rsidR="00F436F1">
          <w:rPr>
            <w:noProof/>
            <w:webHidden/>
          </w:rPr>
        </w:r>
        <w:r w:rsidR="00F436F1">
          <w:rPr>
            <w:noProof/>
            <w:webHidden/>
          </w:rPr>
          <w:fldChar w:fldCharType="separate"/>
        </w:r>
        <w:r w:rsidR="00F436F1">
          <w:rPr>
            <w:noProof/>
            <w:webHidden/>
          </w:rPr>
          <w:t>25</w:t>
        </w:r>
        <w:r w:rsidR="00F436F1">
          <w:rPr>
            <w:noProof/>
            <w:webHidden/>
          </w:rPr>
          <w:fldChar w:fldCharType="end"/>
        </w:r>
      </w:hyperlink>
    </w:p>
    <w:p w14:paraId="198B1A47" w14:textId="77777777" w:rsidR="00F436F1" w:rsidRDefault="00DF236E">
      <w:pPr>
        <w:pStyle w:val="TOC1"/>
        <w:tabs>
          <w:tab w:val="left" w:pos="440"/>
          <w:tab w:val="right" w:leader="dot" w:pos="8270"/>
        </w:tabs>
        <w:rPr>
          <w:noProof/>
          <w:sz w:val="22"/>
        </w:rPr>
      </w:pPr>
      <w:hyperlink w:anchor="_Toc416611298" w:history="1">
        <w:r w:rsidR="00F436F1" w:rsidRPr="00CE6078">
          <w:rPr>
            <w:rStyle w:val="Hyperlink"/>
            <w:noProof/>
          </w:rPr>
          <w:t>3.</w:t>
        </w:r>
        <w:r w:rsidR="00F436F1">
          <w:rPr>
            <w:noProof/>
            <w:sz w:val="22"/>
          </w:rPr>
          <w:tab/>
        </w:r>
        <w:r w:rsidR="00F436F1" w:rsidRPr="00CE6078">
          <w:rPr>
            <w:rStyle w:val="Hyperlink"/>
            <w:noProof/>
          </w:rPr>
          <w:t>Methods</w:t>
        </w:r>
        <w:r w:rsidR="00F436F1">
          <w:rPr>
            <w:noProof/>
            <w:webHidden/>
          </w:rPr>
          <w:tab/>
        </w:r>
        <w:r w:rsidR="00F436F1">
          <w:rPr>
            <w:noProof/>
            <w:webHidden/>
          </w:rPr>
          <w:fldChar w:fldCharType="begin"/>
        </w:r>
        <w:r w:rsidR="00F436F1">
          <w:rPr>
            <w:noProof/>
            <w:webHidden/>
          </w:rPr>
          <w:instrText xml:space="preserve"> PAGEREF _Toc416611298 \h </w:instrText>
        </w:r>
        <w:r w:rsidR="00F436F1">
          <w:rPr>
            <w:noProof/>
            <w:webHidden/>
          </w:rPr>
        </w:r>
        <w:r w:rsidR="00F436F1">
          <w:rPr>
            <w:noProof/>
            <w:webHidden/>
          </w:rPr>
          <w:fldChar w:fldCharType="separate"/>
        </w:r>
        <w:r w:rsidR="00F436F1">
          <w:rPr>
            <w:noProof/>
            <w:webHidden/>
          </w:rPr>
          <w:t>29</w:t>
        </w:r>
        <w:r w:rsidR="00F436F1">
          <w:rPr>
            <w:noProof/>
            <w:webHidden/>
          </w:rPr>
          <w:fldChar w:fldCharType="end"/>
        </w:r>
      </w:hyperlink>
    </w:p>
    <w:p w14:paraId="087BE2E6" w14:textId="77777777" w:rsidR="00F436F1" w:rsidRDefault="00DF236E">
      <w:pPr>
        <w:pStyle w:val="TOC2"/>
        <w:tabs>
          <w:tab w:val="left" w:pos="880"/>
          <w:tab w:val="right" w:leader="dot" w:pos="8270"/>
        </w:tabs>
        <w:rPr>
          <w:noProof/>
          <w:sz w:val="22"/>
        </w:rPr>
      </w:pPr>
      <w:hyperlink w:anchor="_Toc416611299" w:history="1">
        <w:r w:rsidR="00F436F1" w:rsidRPr="00CE6078">
          <w:rPr>
            <w:rStyle w:val="Hyperlink"/>
            <w:noProof/>
          </w:rPr>
          <w:t>3.1</w:t>
        </w:r>
        <w:r w:rsidR="00F436F1">
          <w:rPr>
            <w:noProof/>
            <w:sz w:val="22"/>
          </w:rPr>
          <w:tab/>
        </w:r>
        <w:r w:rsidR="00F436F1" w:rsidRPr="00CE6078">
          <w:rPr>
            <w:rStyle w:val="Hyperlink"/>
            <w:noProof/>
          </w:rPr>
          <w:t>Question 1: Analyzing the Status Quo</w:t>
        </w:r>
        <w:r w:rsidR="00F436F1">
          <w:rPr>
            <w:noProof/>
            <w:webHidden/>
          </w:rPr>
          <w:tab/>
        </w:r>
        <w:r w:rsidR="00F436F1">
          <w:rPr>
            <w:noProof/>
            <w:webHidden/>
          </w:rPr>
          <w:fldChar w:fldCharType="begin"/>
        </w:r>
        <w:r w:rsidR="00F436F1">
          <w:rPr>
            <w:noProof/>
            <w:webHidden/>
          </w:rPr>
          <w:instrText xml:space="preserve"> PAGEREF _Toc416611299 \h </w:instrText>
        </w:r>
        <w:r w:rsidR="00F436F1">
          <w:rPr>
            <w:noProof/>
            <w:webHidden/>
          </w:rPr>
        </w:r>
        <w:r w:rsidR="00F436F1">
          <w:rPr>
            <w:noProof/>
            <w:webHidden/>
          </w:rPr>
          <w:fldChar w:fldCharType="separate"/>
        </w:r>
        <w:r w:rsidR="00F436F1">
          <w:rPr>
            <w:noProof/>
            <w:webHidden/>
          </w:rPr>
          <w:t>29</w:t>
        </w:r>
        <w:r w:rsidR="00F436F1">
          <w:rPr>
            <w:noProof/>
            <w:webHidden/>
          </w:rPr>
          <w:fldChar w:fldCharType="end"/>
        </w:r>
      </w:hyperlink>
    </w:p>
    <w:p w14:paraId="13BC4183" w14:textId="77777777" w:rsidR="00F436F1" w:rsidRDefault="00DF236E">
      <w:pPr>
        <w:pStyle w:val="TOC2"/>
        <w:tabs>
          <w:tab w:val="left" w:pos="880"/>
          <w:tab w:val="right" w:leader="dot" w:pos="8270"/>
        </w:tabs>
        <w:rPr>
          <w:noProof/>
          <w:sz w:val="22"/>
        </w:rPr>
      </w:pPr>
      <w:hyperlink w:anchor="_Toc416611300" w:history="1">
        <w:r w:rsidR="00F436F1" w:rsidRPr="00CE6078">
          <w:rPr>
            <w:rStyle w:val="Hyperlink"/>
            <w:noProof/>
          </w:rPr>
          <w:t>3.2</w:t>
        </w:r>
        <w:r w:rsidR="00F436F1">
          <w:rPr>
            <w:noProof/>
            <w:sz w:val="22"/>
          </w:rPr>
          <w:tab/>
        </w:r>
        <w:r w:rsidR="00F436F1" w:rsidRPr="00CE6078">
          <w:rPr>
            <w:rStyle w:val="Hyperlink"/>
            <w:noProof/>
          </w:rPr>
          <w:t>Question 2: A New Way Forward</w:t>
        </w:r>
        <w:r w:rsidR="00F436F1">
          <w:rPr>
            <w:noProof/>
            <w:webHidden/>
          </w:rPr>
          <w:tab/>
        </w:r>
        <w:r w:rsidR="00F436F1">
          <w:rPr>
            <w:noProof/>
            <w:webHidden/>
          </w:rPr>
          <w:fldChar w:fldCharType="begin"/>
        </w:r>
        <w:r w:rsidR="00F436F1">
          <w:rPr>
            <w:noProof/>
            <w:webHidden/>
          </w:rPr>
          <w:instrText xml:space="preserve"> PAGEREF _Toc416611300 \h </w:instrText>
        </w:r>
        <w:r w:rsidR="00F436F1">
          <w:rPr>
            <w:noProof/>
            <w:webHidden/>
          </w:rPr>
        </w:r>
        <w:r w:rsidR="00F436F1">
          <w:rPr>
            <w:noProof/>
            <w:webHidden/>
          </w:rPr>
          <w:fldChar w:fldCharType="separate"/>
        </w:r>
        <w:r w:rsidR="00F436F1">
          <w:rPr>
            <w:noProof/>
            <w:webHidden/>
          </w:rPr>
          <w:t>31</w:t>
        </w:r>
        <w:r w:rsidR="00F436F1">
          <w:rPr>
            <w:noProof/>
            <w:webHidden/>
          </w:rPr>
          <w:fldChar w:fldCharType="end"/>
        </w:r>
      </w:hyperlink>
    </w:p>
    <w:p w14:paraId="3829FBA8" w14:textId="77777777" w:rsidR="00F436F1" w:rsidRDefault="00DF236E">
      <w:pPr>
        <w:pStyle w:val="TOC1"/>
        <w:tabs>
          <w:tab w:val="left" w:pos="440"/>
          <w:tab w:val="right" w:leader="dot" w:pos="8270"/>
        </w:tabs>
        <w:rPr>
          <w:noProof/>
          <w:sz w:val="22"/>
        </w:rPr>
      </w:pPr>
      <w:hyperlink w:anchor="_Toc416611301" w:history="1">
        <w:r w:rsidR="00F436F1" w:rsidRPr="00CE6078">
          <w:rPr>
            <w:rStyle w:val="Hyperlink"/>
            <w:noProof/>
          </w:rPr>
          <w:t>4.</w:t>
        </w:r>
        <w:r w:rsidR="00F436F1">
          <w:rPr>
            <w:noProof/>
            <w:sz w:val="22"/>
          </w:rPr>
          <w:tab/>
        </w:r>
        <w:r w:rsidR="00F436F1" w:rsidRPr="00CE6078">
          <w:rPr>
            <w:rStyle w:val="Hyperlink"/>
            <w:noProof/>
          </w:rPr>
          <w:t>Results</w:t>
        </w:r>
        <w:r w:rsidR="00F436F1">
          <w:rPr>
            <w:noProof/>
            <w:webHidden/>
          </w:rPr>
          <w:tab/>
        </w:r>
        <w:r w:rsidR="00F436F1">
          <w:rPr>
            <w:noProof/>
            <w:webHidden/>
          </w:rPr>
          <w:fldChar w:fldCharType="begin"/>
        </w:r>
        <w:r w:rsidR="00F436F1">
          <w:rPr>
            <w:noProof/>
            <w:webHidden/>
          </w:rPr>
          <w:instrText xml:space="preserve"> PAGEREF _Toc416611301 \h </w:instrText>
        </w:r>
        <w:r w:rsidR="00F436F1">
          <w:rPr>
            <w:noProof/>
            <w:webHidden/>
          </w:rPr>
        </w:r>
        <w:r w:rsidR="00F436F1">
          <w:rPr>
            <w:noProof/>
            <w:webHidden/>
          </w:rPr>
          <w:fldChar w:fldCharType="separate"/>
        </w:r>
        <w:r w:rsidR="00F436F1">
          <w:rPr>
            <w:noProof/>
            <w:webHidden/>
          </w:rPr>
          <w:t>37</w:t>
        </w:r>
        <w:r w:rsidR="00F436F1">
          <w:rPr>
            <w:noProof/>
            <w:webHidden/>
          </w:rPr>
          <w:fldChar w:fldCharType="end"/>
        </w:r>
      </w:hyperlink>
    </w:p>
    <w:p w14:paraId="3DA8374B" w14:textId="77777777" w:rsidR="00F436F1" w:rsidRDefault="00DF236E">
      <w:pPr>
        <w:pStyle w:val="TOC2"/>
        <w:tabs>
          <w:tab w:val="left" w:pos="880"/>
          <w:tab w:val="right" w:leader="dot" w:pos="8270"/>
        </w:tabs>
        <w:rPr>
          <w:noProof/>
          <w:sz w:val="22"/>
        </w:rPr>
      </w:pPr>
      <w:hyperlink w:anchor="_Toc416611302" w:history="1">
        <w:r w:rsidR="00F436F1" w:rsidRPr="00CE6078">
          <w:rPr>
            <w:rStyle w:val="Hyperlink"/>
            <w:noProof/>
          </w:rPr>
          <w:t>4.1</w:t>
        </w:r>
        <w:r w:rsidR="00F436F1">
          <w:rPr>
            <w:noProof/>
            <w:sz w:val="22"/>
          </w:rPr>
          <w:tab/>
        </w:r>
        <w:r w:rsidR="00F436F1" w:rsidRPr="00CE6078">
          <w:rPr>
            <w:rStyle w:val="Hyperlink"/>
            <w:noProof/>
          </w:rPr>
          <w:t>Question 1: Analyzing the Status Quo</w:t>
        </w:r>
        <w:r w:rsidR="00F436F1">
          <w:rPr>
            <w:noProof/>
            <w:webHidden/>
          </w:rPr>
          <w:tab/>
        </w:r>
        <w:r w:rsidR="00F436F1">
          <w:rPr>
            <w:noProof/>
            <w:webHidden/>
          </w:rPr>
          <w:fldChar w:fldCharType="begin"/>
        </w:r>
        <w:r w:rsidR="00F436F1">
          <w:rPr>
            <w:noProof/>
            <w:webHidden/>
          </w:rPr>
          <w:instrText xml:space="preserve"> PAGEREF _Toc416611302 \h </w:instrText>
        </w:r>
        <w:r w:rsidR="00F436F1">
          <w:rPr>
            <w:noProof/>
            <w:webHidden/>
          </w:rPr>
        </w:r>
        <w:r w:rsidR="00F436F1">
          <w:rPr>
            <w:noProof/>
            <w:webHidden/>
          </w:rPr>
          <w:fldChar w:fldCharType="separate"/>
        </w:r>
        <w:r w:rsidR="00F436F1">
          <w:rPr>
            <w:noProof/>
            <w:webHidden/>
          </w:rPr>
          <w:t>37</w:t>
        </w:r>
        <w:r w:rsidR="00F436F1">
          <w:rPr>
            <w:noProof/>
            <w:webHidden/>
          </w:rPr>
          <w:fldChar w:fldCharType="end"/>
        </w:r>
      </w:hyperlink>
    </w:p>
    <w:p w14:paraId="795E1B39" w14:textId="77777777" w:rsidR="00F436F1" w:rsidRDefault="00DF236E">
      <w:pPr>
        <w:pStyle w:val="TOC2"/>
        <w:tabs>
          <w:tab w:val="left" w:pos="880"/>
          <w:tab w:val="right" w:leader="dot" w:pos="8270"/>
        </w:tabs>
        <w:rPr>
          <w:noProof/>
          <w:sz w:val="22"/>
        </w:rPr>
      </w:pPr>
      <w:hyperlink w:anchor="_Toc416611303" w:history="1">
        <w:r w:rsidR="00F436F1" w:rsidRPr="00CE6078">
          <w:rPr>
            <w:rStyle w:val="Hyperlink"/>
            <w:noProof/>
          </w:rPr>
          <w:t>4.2</w:t>
        </w:r>
        <w:r w:rsidR="00F436F1">
          <w:rPr>
            <w:noProof/>
            <w:sz w:val="22"/>
          </w:rPr>
          <w:tab/>
        </w:r>
        <w:r w:rsidR="00F436F1" w:rsidRPr="00CE6078">
          <w:rPr>
            <w:rStyle w:val="Hyperlink"/>
            <w:noProof/>
          </w:rPr>
          <w:t>Question 2: A New Way Forward</w:t>
        </w:r>
        <w:r w:rsidR="00F436F1">
          <w:rPr>
            <w:noProof/>
            <w:webHidden/>
          </w:rPr>
          <w:tab/>
        </w:r>
        <w:r w:rsidR="00F436F1">
          <w:rPr>
            <w:noProof/>
            <w:webHidden/>
          </w:rPr>
          <w:fldChar w:fldCharType="begin"/>
        </w:r>
        <w:r w:rsidR="00F436F1">
          <w:rPr>
            <w:noProof/>
            <w:webHidden/>
          </w:rPr>
          <w:instrText xml:space="preserve"> PAGEREF _Toc416611303 \h </w:instrText>
        </w:r>
        <w:r w:rsidR="00F436F1">
          <w:rPr>
            <w:noProof/>
            <w:webHidden/>
          </w:rPr>
        </w:r>
        <w:r w:rsidR="00F436F1">
          <w:rPr>
            <w:noProof/>
            <w:webHidden/>
          </w:rPr>
          <w:fldChar w:fldCharType="separate"/>
        </w:r>
        <w:r w:rsidR="00F436F1">
          <w:rPr>
            <w:noProof/>
            <w:webHidden/>
          </w:rPr>
          <w:t>44</w:t>
        </w:r>
        <w:r w:rsidR="00F436F1">
          <w:rPr>
            <w:noProof/>
            <w:webHidden/>
          </w:rPr>
          <w:fldChar w:fldCharType="end"/>
        </w:r>
      </w:hyperlink>
    </w:p>
    <w:p w14:paraId="2A4757E3" w14:textId="77777777" w:rsidR="00F436F1" w:rsidRDefault="00DF236E">
      <w:pPr>
        <w:pStyle w:val="TOC1"/>
        <w:tabs>
          <w:tab w:val="left" w:pos="440"/>
          <w:tab w:val="right" w:leader="dot" w:pos="8270"/>
        </w:tabs>
        <w:rPr>
          <w:noProof/>
          <w:sz w:val="22"/>
        </w:rPr>
      </w:pPr>
      <w:hyperlink w:anchor="_Toc416611304" w:history="1">
        <w:r w:rsidR="00F436F1" w:rsidRPr="00CE6078">
          <w:rPr>
            <w:rStyle w:val="Hyperlink"/>
            <w:noProof/>
          </w:rPr>
          <w:t>5.</w:t>
        </w:r>
        <w:r w:rsidR="00F436F1">
          <w:rPr>
            <w:noProof/>
            <w:sz w:val="22"/>
          </w:rPr>
          <w:tab/>
        </w:r>
        <w:r w:rsidR="00F436F1" w:rsidRPr="00CE6078">
          <w:rPr>
            <w:rStyle w:val="Hyperlink"/>
            <w:noProof/>
          </w:rPr>
          <w:t>Discussion</w:t>
        </w:r>
        <w:r w:rsidR="00F436F1">
          <w:rPr>
            <w:noProof/>
            <w:webHidden/>
          </w:rPr>
          <w:tab/>
        </w:r>
        <w:r w:rsidR="00F436F1">
          <w:rPr>
            <w:noProof/>
            <w:webHidden/>
          </w:rPr>
          <w:fldChar w:fldCharType="begin"/>
        </w:r>
        <w:r w:rsidR="00F436F1">
          <w:rPr>
            <w:noProof/>
            <w:webHidden/>
          </w:rPr>
          <w:instrText xml:space="preserve"> PAGEREF _Toc416611304 \h </w:instrText>
        </w:r>
        <w:r w:rsidR="00F436F1">
          <w:rPr>
            <w:noProof/>
            <w:webHidden/>
          </w:rPr>
        </w:r>
        <w:r w:rsidR="00F436F1">
          <w:rPr>
            <w:noProof/>
            <w:webHidden/>
          </w:rPr>
          <w:fldChar w:fldCharType="separate"/>
        </w:r>
        <w:r w:rsidR="00F436F1">
          <w:rPr>
            <w:noProof/>
            <w:webHidden/>
          </w:rPr>
          <w:t>51</w:t>
        </w:r>
        <w:r w:rsidR="00F436F1">
          <w:rPr>
            <w:noProof/>
            <w:webHidden/>
          </w:rPr>
          <w:fldChar w:fldCharType="end"/>
        </w:r>
      </w:hyperlink>
    </w:p>
    <w:p w14:paraId="0E0374D0" w14:textId="77777777" w:rsidR="00F436F1" w:rsidRDefault="00DF236E">
      <w:pPr>
        <w:pStyle w:val="TOC2"/>
        <w:tabs>
          <w:tab w:val="left" w:pos="880"/>
          <w:tab w:val="right" w:leader="dot" w:pos="8270"/>
        </w:tabs>
        <w:rPr>
          <w:noProof/>
          <w:sz w:val="22"/>
        </w:rPr>
      </w:pPr>
      <w:hyperlink w:anchor="_Toc416611305" w:history="1">
        <w:r w:rsidR="00F436F1" w:rsidRPr="00CE6078">
          <w:rPr>
            <w:rStyle w:val="Hyperlink"/>
            <w:noProof/>
          </w:rPr>
          <w:t>5.1</w:t>
        </w:r>
        <w:r w:rsidR="00F436F1">
          <w:rPr>
            <w:noProof/>
            <w:sz w:val="22"/>
          </w:rPr>
          <w:tab/>
        </w:r>
        <w:r w:rsidR="00F436F1" w:rsidRPr="00CE6078">
          <w:rPr>
            <w:rStyle w:val="Hyperlink"/>
            <w:noProof/>
          </w:rPr>
          <w:t>Water conservation under the status quo (WSAP)</w:t>
        </w:r>
        <w:r w:rsidR="00F436F1">
          <w:rPr>
            <w:noProof/>
            <w:webHidden/>
          </w:rPr>
          <w:tab/>
        </w:r>
        <w:r w:rsidR="00F436F1">
          <w:rPr>
            <w:noProof/>
            <w:webHidden/>
          </w:rPr>
          <w:fldChar w:fldCharType="begin"/>
        </w:r>
        <w:r w:rsidR="00F436F1">
          <w:rPr>
            <w:noProof/>
            <w:webHidden/>
          </w:rPr>
          <w:instrText xml:space="preserve"> PAGEREF _Toc416611305 \h </w:instrText>
        </w:r>
        <w:r w:rsidR="00F436F1">
          <w:rPr>
            <w:noProof/>
            <w:webHidden/>
          </w:rPr>
        </w:r>
        <w:r w:rsidR="00F436F1">
          <w:rPr>
            <w:noProof/>
            <w:webHidden/>
          </w:rPr>
          <w:fldChar w:fldCharType="separate"/>
        </w:r>
        <w:r w:rsidR="00F436F1">
          <w:rPr>
            <w:noProof/>
            <w:webHidden/>
          </w:rPr>
          <w:t>51</w:t>
        </w:r>
        <w:r w:rsidR="00F436F1">
          <w:rPr>
            <w:noProof/>
            <w:webHidden/>
          </w:rPr>
          <w:fldChar w:fldCharType="end"/>
        </w:r>
      </w:hyperlink>
    </w:p>
    <w:p w14:paraId="35A4FEC5" w14:textId="77777777" w:rsidR="00F436F1" w:rsidRDefault="00DF236E">
      <w:pPr>
        <w:pStyle w:val="TOC2"/>
        <w:tabs>
          <w:tab w:val="left" w:pos="880"/>
          <w:tab w:val="right" w:leader="dot" w:pos="8270"/>
        </w:tabs>
        <w:rPr>
          <w:noProof/>
          <w:sz w:val="22"/>
        </w:rPr>
      </w:pPr>
      <w:hyperlink w:anchor="_Toc416611306" w:history="1">
        <w:r w:rsidR="00F436F1" w:rsidRPr="00CE6078">
          <w:rPr>
            <w:rStyle w:val="Hyperlink"/>
            <w:noProof/>
          </w:rPr>
          <w:t>5.2</w:t>
        </w:r>
        <w:r w:rsidR="00F436F1">
          <w:rPr>
            <w:noProof/>
            <w:sz w:val="22"/>
          </w:rPr>
          <w:tab/>
        </w:r>
        <w:r w:rsidR="00F436F1" w:rsidRPr="00CE6078">
          <w:rPr>
            <w:rStyle w:val="Hyperlink"/>
            <w:noProof/>
          </w:rPr>
          <w:t>Water conservation under the BrenSAP</w:t>
        </w:r>
        <w:r w:rsidR="00F436F1">
          <w:rPr>
            <w:noProof/>
            <w:webHidden/>
          </w:rPr>
          <w:tab/>
        </w:r>
        <w:r w:rsidR="00F436F1">
          <w:rPr>
            <w:noProof/>
            <w:webHidden/>
          </w:rPr>
          <w:fldChar w:fldCharType="begin"/>
        </w:r>
        <w:r w:rsidR="00F436F1">
          <w:rPr>
            <w:noProof/>
            <w:webHidden/>
          </w:rPr>
          <w:instrText xml:space="preserve"> PAGEREF _Toc416611306 \h </w:instrText>
        </w:r>
        <w:r w:rsidR="00F436F1">
          <w:rPr>
            <w:noProof/>
            <w:webHidden/>
          </w:rPr>
        </w:r>
        <w:r w:rsidR="00F436F1">
          <w:rPr>
            <w:noProof/>
            <w:webHidden/>
          </w:rPr>
          <w:fldChar w:fldCharType="separate"/>
        </w:r>
        <w:r w:rsidR="00F436F1">
          <w:rPr>
            <w:noProof/>
            <w:webHidden/>
          </w:rPr>
          <w:t>52</w:t>
        </w:r>
        <w:r w:rsidR="00F436F1">
          <w:rPr>
            <w:noProof/>
            <w:webHidden/>
          </w:rPr>
          <w:fldChar w:fldCharType="end"/>
        </w:r>
      </w:hyperlink>
    </w:p>
    <w:p w14:paraId="15CE8FAE" w14:textId="77777777" w:rsidR="00F436F1" w:rsidRDefault="00DF236E">
      <w:pPr>
        <w:pStyle w:val="TOC2"/>
        <w:tabs>
          <w:tab w:val="left" w:pos="880"/>
          <w:tab w:val="right" w:leader="dot" w:pos="8270"/>
        </w:tabs>
        <w:rPr>
          <w:noProof/>
          <w:sz w:val="22"/>
        </w:rPr>
      </w:pPr>
      <w:hyperlink w:anchor="_Toc416611307" w:history="1">
        <w:r w:rsidR="00F436F1" w:rsidRPr="00CE6078">
          <w:rPr>
            <w:rStyle w:val="Hyperlink"/>
            <w:noProof/>
          </w:rPr>
          <w:t>5.3</w:t>
        </w:r>
        <w:r w:rsidR="00F436F1">
          <w:rPr>
            <w:noProof/>
            <w:sz w:val="22"/>
          </w:rPr>
          <w:tab/>
        </w:r>
        <w:r w:rsidR="00F436F1" w:rsidRPr="00CE6078">
          <w:rPr>
            <w:rStyle w:val="Hyperlink"/>
            <w:noProof/>
          </w:rPr>
          <w:t>Benefits of establishing a market for conserved water</w:t>
        </w:r>
        <w:r w:rsidR="00F436F1">
          <w:rPr>
            <w:noProof/>
            <w:webHidden/>
          </w:rPr>
          <w:tab/>
        </w:r>
        <w:r w:rsidR="00F436F1">
          <w:rPr>
            <w:noProof/>
            <w:webHidden/>
          </w:rPr>
          <w:fldChar w:fldCharType="begin"/>
        </w:r>
        <w:r w:rsidR="00F436F1">
          <w:rPr>
            <w:noProof/>
            <w:webHidden/>
          </w:rPr>
          <w:instrText xml:space="preserve"> PAGEREF _Toc416611307 \h </w:instrText>
        </w:r>
        <w:r w:rsidR="00F436F1">
          <w:rPr>
            <w:noProof/>
            <w:webHidden/>
          </w:rPr>
        </w:r>
        <w:r w:rsidR="00F436F1">
          <w:rPr>
            <w:noProof/>
            <w:webHidden/>
          </w:rPr>
          <w:fldChar w:fldCharType="separate"/>
        </w:r>
        <w:r w:rsidR="00F436F1">
          <w:rPr>
            <w:noProof/>
            <w:webHidden/>
          </w:rPr>
          <w:t>53</w:t>
        </w:r>
        <w:r w:rsidR="00F436F1">
          <w:rPr>
            <w:noProof/>
            <w:webHidden/>
          </w:rPr>
          <w:fldChar w:fldCharType="end"/>
        </w:r>
      </w:hyperlink>
    </w:p>
    <w:p w14:paraId="306ABDF5" w14:textId="77777777" w:rsidR="00F436F1" w:rsidRDefault="00DF236E">
      <w:pPr>
        <w:pStyle w:val="TOC2"/>
        <w:tabs>
          <w:tab w:val="left" w:pos="880"/>
          <w:tab w:val="right" w:leader="dot" w:pos="8270"/>
        </w:tabs>
        <w:rPr>
          <w:noProof/>
          <w:sz w:val="22"/>
        </w:rPr>
      </w:pPr>
      <w:hyperlink w:anchor="_Toc416611308" w:history="1">
        <w:r w:rsidR="00F436F1" w:rsidRPr="00CE6078">
          <w:rPr>
            <w:rStyle w:val="Hyperlink"/>
            <w:noProof/>
          </w:rPr>
          <w:t>5.4</w:t>
        </w:r>
        <w:r w:rsidR="00F436F1">
          <w:rPr>
            <w:noProof/>
            <w:sz w:val="22"/>
          </w:rPr>
          <w:tab/>
        </w:r>
        <w:r w:rsidR="00F436F1" w:rsidRPr="00CE6078">
          <w:rPr>
            <w:rStyle w:val="Hyperlink"/>
            <w:noProof/>
          </w:rPr>
          <w:t>Challenges of Allocating Water</w:t>
        </w:r>
        <w:r w:rsidR="00F436F1">
          <w:rPr>
            <w:noProof/>
            <w:webHidden/>
          </w:rPr>
          <w:tab/>
        </w:r>
        <w:r w:rsidR="00F436F1">
          <w:rPr>
            <w:noProof/>
            <w:webHidden/>
          </w:rPr>
          <w:fldChar w:fldCharType="begin"/>
        </w:r>
        <w:r w:rsidR="00F436F1">
          <w:rPr>
            <w:noProof/>
            <w:webHidden/>
          </w:rPr>
          <w:instrText xml:space="preserve"> PAGEREF _Toc416611308 \h </w:instrText>
        </w:r>
        <w:r w:rsidR="00F436F1">
          <w:rPr>
            <w:noProof/>
            <w:webHidden/>
          </w:rPr>
        </w:r>
        <w:r w:rsidR="00F436F1">
          <w:rPr>
            <w:noProof/>
            <w:webHidden/>
          </w:rPr>
          <w:fldChar w:fldCharType="separate"/>
        </w:r>
        <w:r w:rsidR="00F436F1">
          <w:rPr>
            <w:noProof/>
            <w:webHidden/>
          </w:rPr>
          <w:t>55</w:t>
        </w:r>
        <w:r w:rsidR="00F436F1">
          <w:rPr>
            <w:noProof/>
            <w:webHidden/>
          </w:rPr>
          <w:fldChar w:fldCharType="end"/>
        </w:r>
      </w:hyperlink>
    </w:p>
    <w:p w14:paraId="0A063F3E" w14:textId="77777777" w:rsidR="00F436F1" w:rsidRDefault="00DF236E">
      <w:pPr>
        <w:pStyle w:val="TOC1"/>
        <w:tabs>
          <w:tab w:val="left" w:pos="440"/>
          <w:tab w:val="right" w:leader="dot" w:pos="8270"/>
        </w:tabs>
        <w:rPr>
          <w:noProof/>
          <w:sz w:val="22"/>
        </w:rPr>
      </w:pPr>
      <w:hyperlink w:anchor="_Toc416611309" w:history="1">
        <w:r w:rsidR="00F436F1" w:rsidRPr="00CE6078">
          <w:rPr>
            <w:rStyle w:val="Hyperlink"/>
            <w:noProof/>
          </w:rPr>
          <w:t>6.</w:t>
        </w:r>
        <w:r w:rsidR="00F436F1">
          <w:rPr>
            <w:noProof/>
            <w:sz w:val="22"/>
          </w:rPr>
          <w:tab/>
        </w:r>
        <w:r w:rsidR="00F436F1" w:rsidRPr="00CE6078">
          <w:rPr>
            <w:rStyle w:val="Hyperlink"/>
            <w:noProof/>
          </w:rPr>
          <w:t>Conclusions</w:t>
        </w:r>
        <w:r w:rsidR="00F436F1">
          <w:rPr>
            <w:noProof/>
            <w:webHidden/>
          </w:rPr>
          <w:tab/>
        </w:r>
        <w:r w:rsidR="00F436F1">
          <w:rPr>
            <w:noProof/>
            <w:webHidden/>
          </w:rPr>
          <w:fldChar w:fldCharType="begin"/>
        </w:r>
        <w:r w:rsidR="00F436F1">
          <w:rPr>
            <w:noProof/>
            <w:webHidden/>
          </w:rPr>
          <w:instrText xml:space="preserve"> PAGEREF _Toc416611309 \h </w:instrText>
        </w:r>
        <w:r w:rsidR="00F436F1">
          <w:rPr>
            <w:noProof/>
            <w:webHidden/>
          </w:rPr>
        </w:r>
        <w:r w:rsidR="00F436F1">
          <w:rPr>
            <w:noProof/>
            <w:webHidden/>
          </w:rPr>
          <w:fldChar w:fldCharType="separate"/>
        </w:r>
        <w:r w:rsidR="00F436F1">
          <w:rPr>
            <w:noProof/>
            <w:webHidden/>
          </w:rPr>
          <w:t>57</w:t>
        </w:r>
        <w:r w:rsidR="00F436F1">
          <w:rPr>
            <w:noProof/>
            <w:webHidden/>
          </w:rPr>
          <w:fldChar w:fldCharType="end"/>
        </w:r>
      </w:hyperlink>
    </w:p>
    <w:p w14:paraId="2CB4DBD5" w14:textId="77777777" w:rsidR="00F436F1" w:rsidRDefault="00DF236E">
      <w:pPr>
        <w:pStyle w:val="TOC1"/>
        <w:tabs>
          <w:tab w:val="left" w:pos="440"/>
          <w:tab w:val="right" w:leader="dot" w:pos="8270"/>
        </w:tabs>
        <w:rPr>
          <w:noProof/>
          <w:sz w:val="22"/>
        </w:rPr>
      </w:pPr>
      <w:hyperlink w:anchor="_Toc416611310" w:history="1">
        <w:r w:rsidR="00F436F1" w:rsidRPr="00CE6078">
          <w:rPr>
            <w:rStyle w:val="Hyperlink"/>
            <w:noProof/>
          </w:rPr>
          <w:t>7.</w:t>
        </w:r>
        <w:r w:rsidR="00F436F1">
          <w:rPr>
            <w:noProof/>
            <w:sz w:val="22"/>
          </w:rPr>
          <w:tab/>
        </w:r>
        <w:r w:rsidR="00F436F1" w:rsidRPr="00CE6078">
          <w:rPr>
            <w:rStyle w:val="Hyperlink"/>
            <w:noProof/>
          </w:rPr>
          <w:t>Acknowledgements</w:t>
        </w:r>
        <w:r w:rsidR="00F436F1">
          <w:rPr>
            <w:noProof/>
            <w:webHidden/>
          </w:rPr>
          <w:tab/>
        </w:r>
        <w:r w:rsidR="00F436F1">
          <w:rPr>
            <w:noProof/>
            <w:webHidden/>
          </w:rPr>
          <w:fldChar w:fldCharType="begin"/>
        </w:r>
        <w:r w:rsidR="00F436F1">
          <w:rPr>
            <w:noProof/>
            <w:webHidden/>
          </w:rPr>
          <w:instrText xml:space="preserve"> PAGEREF _Toc416611310 \h </w:instrText>
        </w:r>
        <w:r w:rsidR="00F436F1">
          <w:rPr>
            <w:noProof/>
            <w:webHidden/>
          </w:rPr>
        </w:r>
        <w:r w:rsidR="00F436F1">
          <w:rPr>
            <w:noProof/>
            <w:webHidden/>
          </w:rPr>
          <w:fldChar w:fldCharType="separate"/>
        </w:r>
        <w:r w:rsidR="00F436F1">
          <w:rPr>
            <w:noProof/>
            <w:webHidden/>
          </w:rPr>
          <w:t>59</w:t>
        </w:r>
        <w:r w:rsidR="00F436F1">
          <w:rPr>
            <w:noProof/>
            <w:webHidden/>
          </w:rPr>
          <w:fldChar w:fldCharType="end"/>
        </w:r>
      </w:hyperlink>
    </w:p>
    <w:p w14:paraId="31623799" w14:textId="77777777" w:rsidR="00F436F1" w:rsidRDefault="00DF236E">
      <w:pPr>
        <w:pStyle w:val="TOC1"/>
        <w:tabs>
          <w:tab w:val="left" w:pos="440"/>
          <w:tab w:val="right" w:leader="dot" w:pos="8270"/>
        </w:tabs>
        <w:rPr>
          <w:noProof/>
          <w:sz w:val="22"/>
        </w:rPr>
      </w:pPr>
      <w:hyperlink w:anchor="_Toc416611311" w:history="1">
        <w:r w:rsidR="00F436F1" w:rsidRPr="00CE6078">
          <w:rPr>
            <w:rStyle w:val="Hyperlink"/>
            <w:noProof/>
          </w:rPr>
          <w:t>8.</w:t>
        </w:r>
        <w:r w:rsidR="00F436F1">
          <w:rPr>
            <w:noProof/>
            <w:sz w:val="22"/>
          </w:rPr>
          <w:tab/>
        </w:r>
        <w:r w:rsidR="00F436F1" w:rsidRPr="00CE6078">
          <w:rPr>
            <w:rStyle w:val="Hyperlink"/>
            <w:noProof/>
          </w:rPr>
          <w:t>References</w:t>
        </w:r>
        <w:r w:rsidR="00F436F1">
          <w:rPr>
            <w:noProof/>
            <w:webHidden/>
          </w:rPr>
          <w:tab/>
        </w:r>
        <w:r w:rsidR="00F436F1">
          <w:rPr>
            <w:noProof/>
            <w:webHidden/>
          </w:rPr>
          <w:fldChar w:fldCharType="begin"/>
        </w:r>
        <w:r w:rsidR="00F436F1">
          <w:rPr>
            <w:noProof/>
            <w:webHidden/>
          </w:rPr>
          <w:instrText xml:space="preserve"> PAGEREF _Toc416611311 \h </w:instrText>
        </w:r>
        <w:r w:rsidR="00F436F1">
          <w:rPr>
            <w:noProof/>
            <w:webHidden/>
          </w:rPr>
        </w:r>
        <w:r w:rsidR="00F436F1">
          <w:rPr>
            <w:noProof/>
            <w:webHidden/>
          </w:rPr>
          <w:fldChar w:fldCharType="separate"/>
        </w:r>
        <w:r w:rsidR="00F436F1">
          <w:rPr>
            <w:noProof/>
            <w:webHidden/>
          </w:rPr>
          <w:t>60</w:t>
        </w:r>
        <w:r w:rsidR="00F436F1">
          <w:rPr>
            <w:noProof/>
            <w:webHidden/>
          </w:rPr>
          <w:fldChar w:fldCharType="end"/>
        </w:r>
      </w:hyperlink>
    </w:p>
    <w:p w14:paraId="1FFBAB6C" w14:textId="77777777" w:rsidR="00F436F1" w:rsidRDefault="00DF236E">
      <w:pPr>
        <w:pStyle w:val="TOC1"/>
        <w:tabs>
          <w:tab w:val="left" w:pos="440"/>
          <w:tab w:val="right" w:leader="dot" w:pos="8270"/>
        </w:tabs>
        <w:rPr>
          <w:noProof/>
          <w:sz w:val="22"/>
        </w:rPr>
      </w:pPr>
      <w:hyperlink w:anchor="_Toc416611312" w:history="1">
        <w:r w:rsidR="00F436F1" w:rsidRPr="00CE6078">
          <w:rPr>
            <w:rStyle w:val="Hyperlink"/>
            <w:noProof/>
          </w:rPr>
          <w:t>9.</w:t>
        </w:r>
        <w:r w:rsidR="00F436F1">
          <w:rPr>
            <w:noProof/>
            <w:sz w:val="22"/>
          </w:rPr>
          <w:tab/>
        </w:r>
        <w:r w:rsidR="00F436F1" w:rsidRPr="00CE6078">
          <w:rPr>
            <w:rStyle w:val="Hyperlink"/>
            <w:noProof/>
          </w:rPr>
          <w:t>Appendix A: Charts and Tables</w:t>
        </w:r>
        <w:r w:rsidR="00F436F1">
          <w:rPr>
            <w:noProof/>
            <w:webHidden/>
          </w:rPr>
          <w:tab/>
        </w:r>
        <w:r w:rsidR="00F436F1">
          <w:rPr>
            <w:noProof/>
            <w:webHidden/>
          </w:rPr>
          <w:fldChar w:fldCharType="begin"/>
        </w:r>
        <w:r w:rsidR="00F436F1">
          <w:rPr>
            <w:noProof/>
            <w:webHidden/>
          </w:rPr>
          <w:instrText xml:space="preserve"> PAGEREF _Toc416611312 \h </w:instrText>
        </w:r>
        <w:r w:rsidR="00F436F1">
          <w:rPr>
            <w:noProof/>
            <w:webHidden/>
          </w:rPr>
        </w:r>
        <w:r w:rsidR="00F436F1">
          <w:rPr>
            <w:noProof/>
            <w:webHidden/>
          </w:rPr>
          <w:fldChar w:fldCharType="separate"/>
        </w:r>
        <w:r w:rsidR="00F436F1">
          <w:rPr>
            <w:noProof/>
            <w:webHidden/>
          </w:rPr>
          <w:t>62</w:t>
        </w:r>
        <w:r w:rsidR="00F436F1">
          <w:rPr>
            <w:noProof/>
            <w:webHidden/>
          </w:rPr>
          <w:fldChar w:fldCharType="end"/>
        </w:r>
      </w:hyperlink>
    </w:p>
    <w:p w14:paraId="14EC029D" w14:textId="77777777" w:rsidR="00F436F1" w:rsidRDefault="00DF236E">
      <w:pPr>
        <w:pStyle w:val="TOC1"/>
        <w:tabs>
          <w:tab w:val="left" w:pos="660"/>
          <w:tab w:val="right" w:leader="dot" w:pos="8270"/>
        </w:tabs>
        <w:rPr>
          <w:noProof/>
          <w:sz w:val="22"/>
        </w:rPr>
      </w:pPr>
      <w:hyperlink w:anchor="_Toc416611313" w:history="1">
        <w:r w:rsidR="00F436F1" w:rsidRPr="00CE6078">
          <w:rPr>
            <w:rStyle w:val="Hyperlink"/>
            <w:noProof/>
          </w:rPr>
          <w:t>10.</w:t>
        </w:r>
        <w:r w:rsidR="00F436F1">
          <w:rPr>
            <w:noProof/>
            <w:sz w:val="22"/>
          </w:rPr>
          <w:tab/>
        </w:r>
        <w:r w:rsidR="00F436F1" w:rsidRPr="00CE6078">
          <w:rPr>
            <w:rStyle w:val="Hyperlink"/>
            <w:noProof/>
          </w:rPr>
          <w:t>Appendix B: Alternative Allocation Systems</w:t>
        </w:r>
        <w:r w:rsidR="00F436F1">
          <w:rPr>
            <w:noProof/>
            <w:webHidden/>
          </w:rPr>
          <w:tab/>
        </w:r>
        <w:r w:rsidR="00F436F1">
          <w:rPr>
            <w:noProof/>
            <w:webHidden/>
          </w:rPr>
          <w:fldChar w:fldCharType="begin"/>
        </w:r>
        <w:r w:rsidR="00F436F1">
          <w:rPr>
            <w:noProof/>
            <w:webHidden/>
          </w:rPr>
          <w:instrText xml:space="preserve"> PAGEREF _Toc416611313 \h </w:instrText>
        </w:r>
        <w:r w:rsidR="00F436F1">
          <w:rPr>
            <w:noProof/>
            <w:webHidden/>
          </w:rPr>
        </w:r>
        <w:r w:rsidR="00F436F1">
          <w:rPr>
            <w:noProof/>
            <w:webHidden/>
          </w:rPr>
          <w:fldChar w:fldCharType="separate"/>
        </w:r>
        <w:r w:rsidR="00F436F1">
          <w:rPr>
            <w:noProof/>
            <w:webHidden/>
          </w:rPr>
          <w:t>66</w:t>
        </w:r>
        <w:r w:rsidR="00F436F1">
          <w:rPr>
            <w:noProof/>
            <w:webHidden/>
          </w:rPr>
          <w:fldChar w:fldCharType="end"/>
        </w:r>
      </w:hyperlink>
    </w:p>
    <w:p w14:paraId="3D2CF33D" w14:textId="77777777" w:rsidR="00F436F1" w:rsidRDefault="00DF236E">
      <w:pPr>
        <w:pStyle w:val="TOC2"/>
        <w:tabs>
          <w:tab w:val="left" w:pos="880"/>
          <w:tab w:val="right" w:leader="dot" w:pos="8270"/>
        </w:tabs>
        <w:rPr>
          <w:noProof/>
          <w:sz w:val="22"/>
        </w:rPr>
      </w:pPr>
      <w:hyperlink w:anchor="_Toc416611314" w:history="1">
        <w:r w:rsidR="00F436F1" w:rsidRPr="00CE6078">
          <w:rPr>
            <w:rStyle w:val="Hyperlink"/>
            <w:noProof/>
          </w:rPr>
          <w:t>10.1</w:t>
        </w:r>
        <w:r w:rsidR="00F436F1">
          <w:rPr>
            <w:noProof/>
            <w:sz w:val="22"/>
          </w:rPr>
          <w:tab/>
        </w:r>
        <w:r w:rsidR="00F436F1" w:rsidRPr="00CE6078">
          <w:rPr>
            <w:rStyle w:val="Hyperlink"/>
            <w:noProof/>
          </w:rPr>
          <w:t>Preferential Rights</w:t>
        </w:r>
        <w:r w:rsidR="00F436F1">
          <w:rPr>
            <w:noProof/>
            <w:webHidden/>
          </w:rPr>
          <w:tab/>
        </w:r>
        <w:r w:rsidR="00F436F1">
          <w:rPr>
            <w:noProof/>
            <w:webHidden/>
          </w:rPr>
          <w:fldChar w:fldCharType="begin"/>
        </w:r>
        <w:r w:rsidR="00F436F1">
          <w:rPr>
            <w:noProof/>
            <w:webHidden/>
          </w:rPr>
          <w:instrText xml:space="preserve"> PAGEREF _Toc416611314 \h </w:instrText>
        </w:r>
        <w:r w:rsidR="00F436F1">
          <w:rPr>
            <w:noProof/>
            <w:webHidden/>
          </w:rPr>
        </w:r>
        <w:r w:rsidR="00F436F1">
          <w:rPr>
            <w:noProof/>
            <w:webHidden/>
          </w:rPr>
          <w:fldChar w:fldCharType="separate"/>
        </w:r>
        <w:r w:rsidR="00F436F1">
          <w:rPr>
            <w:noProof/>
            <w:webHidden/>
          </w:rPr>
          <w:t>66</w:t>
        </w:r>
        <w:r w:rsidR="00F436F1">
          <w:rPr>
            <w:noProof/>
            <w:webHidden/>
          </w:rPr>
          <w:fldChar w:fldCharType="end"/>
        </w:r>
      </w:hyperlink>
    </w:p>
    <w:p w14:paraId="007C3977" w14:textId="77777777" w:rsidR="00F436F1" w:rsidRDefault="00DF236E">
      <w:pPr>
        <w:pStyle w:val="TOC2"/>
        <w:tabs>
          <w:tab w:val="left" w:pos="880"/>
          <w:tab w:val="right" w:leader="dot" w:pos="8270"/>
        </w:tabs>
        <w:rPr>
          <w:noProof/>
          <w:sz w:val="22"/>
        </w:rPr>
      </w:pPr>
      <w:hyperlink w:anchor="_Toc416611315" w:history="1">
        <w:r w:rsidR="00F436F1" w:rsidRPr="00CE6078">
          <w:rPr>
            <w:rStyle w:val="Hyperlink"/>
            <w:noProof/>
          </w:rPr>
          <w:t>10.2</w:t>
        </w:r>
        <w:r w:rsidR="00F436F1">
          <w:rPr>
            <w:noProof/>
            <w:sz w:val="22"/>
          </w:rPr>
          <w:tab/>
        </w:r>
        <w:r w:rsidR="00F436F1" w:rsidRPr="00CE6078">
          <w:rPr>
            <w:rStyle w:val="Hyperlink"/>
            <w:noProof/>
          </w:rPr>
          <w:t>Gallons Per Capita Per Day (GPCD) Benchmark</w:t>
        </w:r>
        <w:r w:rsidR="00F436F1">
          <w:rPr>
            <w:noProof/>
            <w:webHidden/>
          </w:rPr>
          <w:tab/>
        </w:r>
        <w:r w:rsidR="00F436F1">
          <w:rPr>
            <w:noProof/>
            <w:webHidden/>
          </w:rPr>
          <w:fldChar w:fldCharType="begin"/>
        </w:r>
        <w:r w:rsidR="00F436F1">
          <w:rPr>
            <w:noProof/>
            <w:webHidden/>
          </w:rPr>
          <w:instrText xml:space="preserve"> PAGEREF _Toc416611315 \h </w:instrText>
        </w:r>
        <w:r w:rsidR="00F436F1">
          <w:rPr>
            <w:noProof/>
            <w:webHidden/>
          </w:rPr>
        </w:r>
        <w:r w:rsidR="00F436F1">
          <w:rPr>
            <w:noProof/>
            <w:webHidden/>
          </w:rPr>
          <w:fldChar w:fldCharType="separate"/>
        </w:r>
        <w:r w:rsidR="00F436F1">
          <w:rPr>
            <w:noProof/>
            <w:webHidden/>
          </w:rPr>
          <w:t>74</w:t>
        </w:r>
        <w:r w:rsidR="00F436F1">
          <w:rPr>
            <w:noProof/>
            <w:webHidden/>
          </w:rPr>
          <w:fldChar w:fldCharType="end"/>
        </w:r>
      </w:hyperlink>
    </w:p>
    <w:p w14:paraId="1F3F5945" w14:textId="766FEA6A" w:rsidR="002832B1" w:rsidRDefault="006B4680">
      <w:pPr>
        <w:sectPr w:rsidR="002832B1" w:rsidSect="00C655BD">
          <w:footerReference w:type="default" r:id="rId13"/>
          <w:endnotePr>
            <w:numFmt w:val="decimal"/>
          </w:endnotePr>
          <w:pgSz w:w="12240" w:h="15840"/>
          <w:pgMar w:top="1800" w:right="1800" w:bottom="1800" w:left="2160" w:header="720" w:footer="720" w:gutter="0"/>
          <w:pgNumType w:fmt="lowerRoman"/>
          <w:cols w:space="720"/>
        </w:sectPr>
      </w:pPr>
      <w:r>
        <w:fldChar w:fldCharType="end"/>
      </w:r>
    </w:p>
    <w:p w14:paraId="36994110" w14:textId="2AF22479" w:rsidR="00AC4EA6" w:rsidRDefault="00AC4EA6" w:rsidP="007A07FC">
      <w:pPr>
        <w:pStyle w:val="Heading0"/>
      </w:pPr>
      <w:bookmarkStart w:id="4" w:name="_Toc416611289"/>
      <w:bookmarkStart w:id="5" w:name="_Ref411880014"/>
      <w:bookmarkStart w:id="6" w:name="_Ref411880017"/>
      <w:r>
        <w:lastRenderedPageBreak/>
        <w:t>Table of Figures</w:t>
      </w:r>
      <w:bookmarkEnd w:id="4"/>
    </w:p>
    <w:p w14:paraId="63734E90" w14:textId="24CCC3BE" w:rsidR="007A1613" w:rsidRDefault="007A1613">
      <w:pPr>
        <w:pStyle w:val="TableofFigures"/>
        <w:tabs>
          <w:tab w:val="right" w:leader="dot" w:pos="8270"/>
        </w:tabs>
        <w:rPr>
          <w:noProof/>
          <w:sz w:val="22"/>
        </w:rPr>
      </w:pPr>
      <w:r>
        <w:fldChar w:fldCharType="begin"/>
      </w:r>
      <w:r>
        <w:instrText xml:space="preserve"> TOC \h \z \c "Figure" </w:instrText>
      </w:r>
      <w:r>
        <w:fldChar w:fldCharType="separate"/>
      </w:r>
      <w:hyperlink w:anchor="_Toc416362752" w:history="1">
        <w:r w:rsidRPr="00D44B33">
          <w:rPr>
            <w:rStyle w:val="Hyperlink"/>
            <w:noProof/>
          </w:rPr>
          <w:t>Figure 2</w:t>
        </w:r>
        <w:r w:rsidRPr="00D44B33">
          <w:rPr>
            <w:rStyle w:val="Hyperlink"/>
            <w:noProof/>
          </w:rPr>
          <w:noBreakHyphen/>
          <w:t>1. Southern Califor</w:t>
        </w:r>
        <w:r>
          <w:rPr>
            <w:rStyle w:val="Hyperlink"/>
            <w:noProof/>
          </w:rPr>
          <w:t>nia water usage, 2014-15</w:t>
        </w:r>
        <w:r>
          <w:rPr>
            <w:noProof/>
            <w:webHidden/>
          </w:rPr>
          <w:tab/>
        </w:r>
        <w:r>
          <w:rPr>
            <w:noProof/>
            <w:webHidden/>
          </w:rPr>
          <w:fldChar w:fldCharType="begin"/>
        </w:r>
        <w:r>
          <w:rPr>
            <w:noProof/>
            <w:webHidden/>
          </w:rPr>
          <w:instrText xml:space="preserve"> PAGEREF _Toc416362752 \h </w:instrText>
        </w:r>
        <w:r>
          <w:rPr>
            <w:noProof/>
            <w:webHidden/>
          </w:rPr>
        </w:r>
        <w:r>
          <w:rPr>
            <w:noProof/>
            <w:webHidden/>
          </w:rPr>
          <w:fldChar w:fldCharType="separate"/>
        </w:r>
        <w:r>
          <w:rPr>
            <w:noProof/>
            <w:webHidden/>
          </w:rPr>
          <w:t>14</w:t>
        </w:r>
        <w:r>
          <w:rPr>
            <w:noProof/>
            <w:webHidden/>
          </w:rPr>
          <w:fldChar w:fldCharType="end"/>
        </w:r>
      </w:hyperlink>
    </w:p>
    <w:p w14:paraId="5999C772" w14:textId="5400287E" w:rsidR="007A1613" w:rsidRDefault="00DF236E">
      <w:pPr>
        <w:pStyle w:val="TableofFigures"/>
        <w:tabs>
          <w:tab w:val="right" w:leader="dot" w:pos="8270"/>
        </w:tabs>
        <w:rPr>
          <w:noProof/>
          <w:sz w:val="22"/>
        </w:rPr>
      </w:pPr>
      <w:hyperlink w:anchor="_Toc416362753" w:history="1">
        <w:r w:rsidR="007A1613" w:rsidRPr="00D44B33">
          <w:rPr>
            <w:rStyle w:val="Hyperlink"/>
            <w:noProof/>
          </w:rPr>
          <w:t>Figure 2</w:t>
        </w:r>
        <w:r w:rsidR="007A1613" w:rsidRPr="00D44B33">
          <w:rPr>
            <w:rStyle w:val="Hyperlink"/>
            <w:noProof/>
          </w:rPr>
          <w:noBreakHyphen/>
          <w:t xml:space="preserve">2. </w:t>
        </w:r>
        <w:r w:rsidR="007A1613">
          <w:rPr>
            <w:rStyle w:val="Hyperlink"/>
            <w:noProof/>
          </w:rPr>
          <w:t>Map of the</w:t>
        </w:r>
        <w:r w:rsidR="007A1613" w:rsidRPr="00D44B33">
          <w:rPr>
            <w:rStyle w:val="Hyperlink"/>
            <w:noProof/>
          </w:rPr>
          <w:t xml:space="preserve"> Metropolitan Water District</w:t>
        </w:r>
        <w:r w:rsidR="007A1613">
          <w:rPr>
            <w:noProof/>
            <w:webHidden/>
          </w:rPr>
          <w:tab/>
        </w:r>
        <w:r w:rsidR="007A1613">
          <w:rPr>
            <w:noProof/>
            <w:webHidden/>
          </w:rPr>
          <w:fldChar w:fldCharType="begin"/>
        </w:r>
        <w:r w:rsidR="007A1613">
          <w:rPr>
            <w:noProof/>
            <w:webHidden/>
          </w:rPr>
          <w:instrText xml:space="preserve"> PAGEREF _Toc416362753 \h </w:instrText>
        </w:r>
        <w:r w:rsidR="007A1613">
          <w:rPr>
            <w:noProof/>
            <w:webHidden/>
          </w:rPr>
        </w:r>
        <w:r w:rsidR="007A1613">
          <w:rPr>
            <w:noProof/>
            <w:webHidden/>
          </w:rPr>
          <w:fldChar w:fldCharType="separate"/>
        </w:r>
        <w:r w:rsidR="007A1613">
          <w:rPr>
            <w:noProof/>
            <w:webHidden/>
          </w:rPr>
          <w:t>16</w:t>
        </w:r>
        <w:r w:rsidR="007A1613">
          <w:rPr>
            <w:noProof/>
            <w:webHidden/>
          </w:rPr>
          <w:fldChar w:fldCharType="end"/>
        </w:r>
      </w:hyperlink>
    </w:p>
    <w:p w14:paraId="7B855825" w14:textId="5C7A6D68" w:rsidR="007A1613" w:rsidRDefault="00DF236E">
      <w:pPr>
        <w:pStyle w:val="TableofFigures"/>
        <w:tabs>
          <w:tab w:val="right" w:leader="dot" w:pos="8270"/>
        </w:tabs>
        <w:rPr>
          <w:noProof/>
          <w:sz w:val="22"/>
        </w:rPr>
      </w:pPr>
      <w:hyperlink w:anchor="_Toc416362754" w:history="1">
        <w:r w:rsidR="007A1613" w:rsidRPr="00D44B33">
          <w:rPr>
            <w:rStyle w:val="Hyperlink"/>
            <w:noProof/>
          </w:rPr>
          <w:t>Figure 2</w:t>
        </w:r>
        <w:r w:rsidR="007A1613" w:rsidRPr="00D44B33">
          <w:rPr>
            <w:rStyle w:val="Hyperlink"/>
            <w:noProof/>
          </w:rPr>
          <w:noBreakHyphen/>
          <w:t>3. Preferential rig</w:t>
        </w:r>
        <w:r w:rsidR="007A1613">
          <w:rPr>
            <w:rStyle w:val="Hyperlink"/>
            <w:noProof/>
          </w:rPr>
          <w:t>hts over the last decade for the</w:t>
        </w:r>
        <w:r w:rsidR="007A1613" w:rsidRPr="00D44B33">
          <w:rPr>
            <w:rStyle w:val="Hyperlink"/>
            <w:noProof/>
          </w:rPr>
          <w:t xml:space="preserve"> </w:t>
        </w:r>
        <w:r w:rsidR="007A1613">
          <w:rPr>
            <w:rStyle w:val="Hyperlink"/>
            <w:noProof/>
          </w:rPr>
          <w:t>Met member agencies</w:t>
        </w:r>
        <w:r w:rsidR="007A1613">
          <w:rPr>
            <w:noProof/>
            <w:webHidden/>
          </w:rPr>
          <w:tab/>
        </w:r>
        <w:r w:rsidR="007A1613">
          <w:rPr>
            <w:noProof/>
            <w:webHidden/>
          </w:rPr>
          <w:fldChar w:fldCharType="begin"/>
        </w:r>
        <w:r w:rsidR="007A1613">
          <w:rPr>
            <w:noProof/>
            <w:webHidden/>
          </w:rPr>
          <w:instrText xml:space="preserve"> PAGEREF _Toc416362754 \h </w:instrText>
        </w:r>
        <w:r w:rsidR="007A1613">
          <w:rPr>
            <w:noProof/>
            <w:webHidden/>
          </w:rPr>
        </w:r>
        <w:r w:rsidR="007A1613">
          <w:rPr>
            <w:noProof/>
            <w:webHidden/>
          </w:rPr>
          <w:fldChar w:fldCharType="separate"/>
        </w:r>
        <w:r w:rsidR="007A1613">
          <w:rPr>
            <w:noProof/>
            <w:webHidden/>
          </w:rPr>
          <w:t>17</w:t>
        </w:r>
        <w:r w:rsidR="007A1613">
          <w:rPr>
            <w:noProof/>
            <w:webHidden/>
          </w:rPr>
          <w:fldChar w:fldCharType="end"/>
        </w:r>
      </w:hyperlink>
    </w:p>
    <w:p w14:paraId="45938DAF" w14:textId="6EEEE018" w:rsidR="007A1613" w:rsidRDefault="00DF236E">
      <w:pPr>
        <w:pStyle w:val="TableofFigures"/>
        <w:tabs>
          <w:tab w:val="right" w:leader="dot" w:pos="8270"/>
        </w:tabs>
        <w:rPr>
          <w:noProof/>
          <w:sz w:val="22"/>
        </w:rPr>
      </w:pPr>
      <w:hyperlink w:anchor="_Toc416362755" w:history="1">
        <w:r w:rsidR="007A1613" w:rsidRPr="00D44B33">
          <w:rPr>
            <w:rStyle w:val="Hyperlink"/>
            <w:noProof/>
          </w:rPr>
          <w:t>Figure 2</w:t>
        </w:r>
        <w:r w:rsidR="007A1613" w:rsidRPr="00D44B33">
          <w:rPr>
            <w:rStyle w:val="Hyperlink"/>
            <w:noProof/>
          </w:rPr>
          <w:noBreakHyphen/>
          <w:t xml:space="preserve">4. </w:t>
        </w:r>
        <w:r w:rsidR="007A1613">
          <w:rPr>
            <w:rStyle w:val="Hyperlink"/>
            <w:noProof/>
          </w:rPr>
          <w:t>Location of t</w:t>
        </w:r>
        <w:r w:rsidR="007A1613" w:rsidRPr="00D44B33">
          <w:rPr>
            <w:rStyle w:val="Hyperlink"/>
            <w:noProof/>
          </w:rPr>
          <w:t>he</w:t>
        </w:r>
        <w:r w:rsidR="007A1613">
          <w:rPr>
            <w:rStyle w:val="Hyperlink"/>
            <w:noProof/>
          </w:rPr>
          <w:t xml:space="preserve"> Long Beach Water Department</w:t>
        </w:r>
        <w:r w:rsidR="007A1613">
          <w:rPr>
            <w:noProof/>
            <w:webHidden/>
          </w:rPr>
          <w:tab/>
        </w:r>
        <w:r w:rsidR="007A1613">
          <w:rPr>
            <w:noProof/>
            <w:webHidden/>
          </w:rPr>
          <w:fldChar w:fldCharType="begin"/>
        </w:r>
        <w:r w:rsidR="007A1613">
          <w:rPr>
            <w:noProof/>
            <w:webHidden/>
          </w:rPr>
          <w:instrText xml:space="preserve"> PAGEREF _Toc416362755 \h </w:instrText>
        </w:r>
        <w:r w:rsidR="007A1613">
          <w:rPr>
            <w:noProof/>
            <w:webHidden/>
          </w:rPr>
        </w:r>
        <w:r w:rsidR="007A1613">
          <w:rPr>
            <w:noProof/>
            <w:webHidden/>
          </w:rPr>
          <w:fldChar w:fldCharType="separate"/>
        </w:r>
        <w:r w:rsidR="007A1613">
          <w:rPr>
            <w:noProof/>
            <w:webHidden/>
          </w:rPr>
          <w:t>21</w:t>
        </w:r>
        <w:r w:rsidR="007A1613">
          <w:rPr>
            <w:noProof/>
            <w:webHidden/>
          </w:rPr>
          <w:fldChar w:fldCharType="end"/>
        </w:r>
      </w:hyperlink>
    </w:p>
    <w:p w14:paraId="48AF515C" w14:textId="1785160E" w:rsidR="007A1613" w:rsidRDefault="00DF236E">
      <w:pPr>
        <w:pStyle w:val="TableofFigures"/>
        <w:tabs>
          <w:tab w:val="right" w:leader="dot" w:pos="8270"/>
        </w:tabs>
        <w:rPr>
          <w:noProof/>
          <w:sz w:val="22"/>
        </w:rPr>
      </w:pPr>
      <w:hyperlink w:anchor="_Toc416362756" w:history="1">
        <w:r w:rsidR="007A1613" w:rsidRPr="00D44B33">
          <w:rPr>
            <w:rStyle w:val="Hyperlink"/>
            <w:noProof/>
          </w:rPr>
          <w:t>Figure 2</w:t>
        </w:r>
        <w:r w:rsidR="007A1613" w:rsidRPr="00D44B33">
          <w:rPr>
            <w:rStyle w:val="Hyperlink"/>
            <w:noProof/>
          </w:rPr>
          <w:noBreakHyphen/>
          <w:t xml:space="preserve">5. Long Beach </w:t>
        </w:r>
        <w:r w:rsidR="007A1613">
          <w:rPr>
            <w:rStyle w:val="Hyperlink"/>
            <w:noProof/>
          </w:rPr>
          <w:t xml:space="preserve">Water Department </w:t>
        </w:r>
        <w:r w:rsidR="007A1613" w:rsidRPr="00D44B33">
          <w:rPr>
            <w:rStyle w:val="Hyperlink"/>
            <w:noProof/>
          </w:rPr>
          <w:t>per capita water consumption</w:t>
        </w:r>
        <w:r w:rsidR="007A1613">
          <w:rPr>
            <w:noProof/>
            <w:webHidden/>
          </w:rPr>
          <w:tab/>
        </w:r>
        <w:r w:rsidR="007A1613">
          <w:rPr>
            <w:noProof/>
            <w:webHidden/>
          </w:rPr>
          <w:fldChar w:fldCharType="begin"/>
        </w:r>
        <w:r w:rsidR="007A1613">
          <w:rPr>
            <w:noProof/>
            <w:webHidden/>
          </w:rPr>
          <w:instrText xml:space="preserve"> PAGEREF _Toc416362756 \h </w:instrText>
        </w:r>
        <w:r w:rsidR="007A1613">
          <w:rPr>
            <w:noProof/>
            <w:webHidden/>
          </w:rPr>
        </w:r>
        <w:r w:rsidR="007A1613">
          <w:rPr>
            <w:noProof/>
            <w:webHidden/>
          </w:rPr>
          <w:fldChar w:fldCharType="separate"/>
        </w:r>
        <w:r w:rsidR="007A1613">
          <w:rPr>
            <w:noProof/>
            <w:webHidden/>
          </w:rPr>
          <w:t>21</w:t>
        </w:r>
        <w:r w:rsidR="007A1613">
          <w:rPr>
            <w:noProof/>
            <w:webHidden/>
          </w:rPr>
          <w:fldChar w:fldCharType="end"/>
        </w:r>
      </w:hyperlink>
    </w:p>
    <w:p w14:paraId="08D107A6" w14:textId="508E30C2" w:rsidR="007A1613" w:rsidRDefault="00DF236E">
      <w:pPr>
        <w:pStyle w:val="TableofFigures"/>
        <w:tabs>
          <w:tab w:val="right" w:leader="dot" w:pos="8270"/>
        </w:tabs>
        <w:rPr>
          <w:noProof/>
          <w:sz w:val="22"/>
        </w:rPr>
      </w:pPr>
      <w:hyperlink w:anchor="_Toc416362757" w:history="1">
        <w:r w:rsidR="007A1613" w:rsidRPr="00D44B33">
          <w:rPr>
            <w:rStyle w:val="Hyperlink"/>
            <w:noProof/>
          </w:rPr>
          <w:t>Figure 4</w:t>
        </w:r>
        <w:r w:rsidR="007A1613" w:rsidRPr="00D44B33">
          <w:rPr>
            <w:rStyle w:val="Hyperlink"/>
            <w:noProof/>
          </w:rPr>
          <w:noBreakHyphen/>
          <w:t>1. Incentives for conservation under the status quo (WSAP)</w:t>
        </w:r>
        <w:r w:rsidR="007A1613">
          <w:rPr>
            <w:noProof/>
            <w:webHidden/>
          </w:rPr>
          <w:tab/>
        </w:r>
        <w:r w:rsidR="007A1613">
          <w:rPr>
            <w:noProof/>
            <w:webHidden/>
          </w:rPr>
          <w:fldChar w:fldCharType="begin"/>
        </w:r>
        <w:r w:rsidR="007A1613">
          <w:rPr>
            <w:noProof/>
            <w:webHidden/>
          </w:rPr>
          <w:instrText xml:space="preserve"> PAGEREF _Toc416362757 \h </w:instrText>
        </w:r>
        <w:r w:rsidR="007A1613">
          <w:rPr>
            <w:noProof/>
            <w:webHidden/>
          </w:rPr>
        </w:r>
        <w:r w:rsidR="007A1613">
          <w:rPr>
            <w:noProof/>
            <w:webHidden/>
          </w:rPr>
          <w:fldChar w:fldCharType="separate"/>
        </w:r>
        <w:r w:rsidR="007A1613">
          <w:rPr>
            <w:noProof/>
            <w:webHidden/>
          </w:rPr>
          <w:t>34</w:t>
        </w:r>
        <w:r w:rsidR="007A1613">
          <w:rPr>
            <w:noProof/>
            <w:webHidden/>
          </w:rPr>
          <w:fldChar w:fldCharType="end"/>
        </w:r>
      </w:hyperlink>
    </w:p>
    <w:p w14:paraId="561F1AE2" w14:textId="77777777" w:rsidR="007A1613" w:rsidRDefault="00DF236E">
      <w:pPr>
        <w:pStyle w:val="TableofFigures"/>
        <w:tabs>
          <w:tab w:val="right" w:leader="dot" w:pos="8270"/>
        </w:tabs>
        <w:rPr>
          <w:noProof/>
          <w:sz w:val="22"/>
        </w:rPr>
      </w:pPr>
      <w:hyperlink w:anchor="_Toc416362758" w:history="1">
        <w:r w:rsidR="007A1613" w:rsidRPr="00D44B33">
          <w:rPr>
            <w:rStyle w:val="Hyperlink"/>
            <w:noProof/>
          </w:rPr>
          <w:t>Figure 4</w:t>
        </w:r>
        <w:r w:rsidR="007A1613" w:rsidRPr="00D44B33">
          <w:rPr>
            <w:rStyle w:val="Hyperlink"/>
            <w:noProof/>
          </w:rPr>
          <w:noBreakHyphen/>
          <w:t>2. “Use more get more” and “use it or lose it”.</w:t>
        </w:r>
        <w:r w:rsidR="007A1613">
          <w:rPr>
            <w:noProof/>
            <w:webHidden/>
          </w:rPr>
          <w:tab/>
        </w:r>
        <w:r w:rsidR="007A1613">
          <w:rPr>
            <w:noProof/>
            <w:webHidden/>
          </w:rPr>
          <w:fldChar w:fldCharType="begin"/>
        </w:r>
        <w:r w:rsidR="007A1613">
          <w:rPr>
            <w:noProof/>
            <w:webHidden/>
          </w:rPr>
          <w:instrText xml:space="preserve"> PAGEREF _Toc416362758 \h </w:instrText>
        </w:r>
        <w:r w:rsidR="007A1613">
          <w:rPr>
            <w:noProof/>
            <w:webHidden/>
          </w:rPr>
        </w:r>
        <w:r w:rsidR="007A1613">
          <w:rPr>
            <w:noProof/>
            <w:webHidden/>
          </w:rPr>
          <w:fldChar w:fldCharType="separate"/>
        </w:r>
        <w:r w:rsidR="007A1613">
          <w:rPr>
            <w:noProof/>
            <w:webHidden/>
          </w:rPr>
          <w:t>37</w:t>
        </w:r>
        <w:r w:rsidR="007A1613">
          <w:rPr>
            <w:noProof/>
            <w:webHidden/>
          </w:rPr>
          <w:fldChar w:fldCharType="end"/>
        </w:r>
      </w:hyperlink>
    </w:p>
    <w:p w14:paraId="0257370F" w14:textId="2C8846B0" w:rsidR="007A1613" w:rsidRDefault="00DF236E">
      <w:pPr>
        <w:pStyle w:val="TableofFigures"/>
        <w:tabs>
          <w:tab w:val="right" w:leader="dot" w:pos="8270"/>
        </w:tabs>
        <w:rPr>
          <w:noProof/>
          <w:sz w:val="22"/>
        </w:rPr>
      </w:pPr>
      <w:hyperlink w:anchor="_Toc416362759" w:history="1">
        <w:r w:rsidR="007A1613" w:rsidRPr="00D44B33">
          <w:rPr>
            <w:rStyle w:val="Hyperlink"/>
            <w:noProof/>
          </w:rPr>
          <w:t>Figure 4</w:t>
        </w:r>
        <w:r w:rsidR="007A1613" w:rsidRPr="00D44B33">
          <w:rPr>
            <w:rStyle w:val="Hyperlink"/>
            <w:noProof/>
          </w:rPr>
          <w:noBreakHyphen/>
          <w:t>3. When agencies conserve more, other agencies benefit by receiv</w:t>
        </w:r>
        <w:r w:rsidR="0003747A">
          <w:rPr>
            <w:rStyle w:val="Hyperlink"/>
            <w:noProof/>
          </w:rPr>
          <w:t>ing larger allocations</w:t>
        </w:r>
        <w:r w:rsidR="007A1613" w:rsidRPr="00D44B33">
          <w:rPr>
            <w:rStyle w:val="Hyperlink"/>
            <w:noProof/>
          </w:rPr>
          <w:t>.</w:t>
        </w:r>
        <w:r w:rsidR="007A1613">
          <w:rPr>
            <w:noProof/>
            <w:webHidden/>
          </w:rPr>
          <w:tab/>
        </w:r>
        <w:r w:rsidR="007A1613">
          <w:rPr>
            <w:noProof/>
            <w:webHidden/>
          </w:rPr>
          <w:fldChar w:fldCharType="begin"/>
        </w:r>
        <w:r w:rsidR="007A1613">
          <w:rPr>
            <w:noProof/>
            <w:webHidden/>
          </w:rPr>
          <w:instrText xml:space="preserve"> PAGEREF _Toc416362759 \h </w:instrText>
        </w:r>
        <w:r w:rsidR="007A1613">
          <w:rPr>
            <w:noProof/>
            <w:webHidden/>
          </w:rPr>
        </w:r>
        <w:r w:rsidR="007A1613">
          <w:rPr>
            <w:noProof/>
            <w:webHidden/>
          </w:rPr>
          <w:fldChar w:fldCharType="separate"/>
        </w:r>
        <w:r w:rsidR="007A1613">
          <w:rPr>
            <w:noProof/>
            <w:webHidden/>
          </w:rPr>
          <w:t>39</w:t>
        </w:r>
        <w:r w:rsidR="007A1613">
          <w:rPr>
            <w:noProof/>
            <w:webHidden/>
          </w:rPr>
          <w:fldChar w:fldCharType="end"/>
        </w:r>
      </w:hyperlink>
    </w:p>
    <w:p w14:paraId="66E7DD97" w14:textId="77777777" w:rsidR="007A1613" w:rsidRDefault="00DF236E">
      <w:pPr>
        <w:pStyle w:val="TableofFigures"/>
        <w:tabs>
          <w:tab w:val="right" w:leader="dot" w:pos="8270"/>
        </w:tabs>
        <w:rPr>
          <w:noProof/>
          <w:sz w:val="22"/>
        </w:rPr>
      </w:pPr>
      <w:hyperlink w:anchor="_Toc416362760" w:history="1">
        <w:r w:rsidR="007A1613" w:rsidRPr="00D44B33">
          <w:rPr>
            <w:rStyle w:val="Hyperlink"/>
            <w:noProof/>
          </w:rPr>
          <w:t>Figure 4</w:t>
        </w:r>
        <w:r w:rsidR="007A1613" w:rsidRPr="00D44B33">
          <w:rPr>
            <w:rStyle w:val="Hyperlink"/>
            <w:noProof/>
          </w:rPr>
          <w:noBreakHyphen/>
          <w:t>4. Agencies that reduce their gpcd through conservation receive a larger allocation under the BrenSAP than under the 2015 WSAP.</w:t>
        </w:r>
        <w:r w:rsidR="007A1613">
          <w:rPr>
            <w:noProof/>
            <w:webHidden/>
          </w:rPr>
          <w:tab/>
        </w:r>
        <w:r w:rsidR="007A1613">
          <w:rPr>
            <w:noProof/>
            <w:webHidden/>
          </w:rPr>
          <w:fldChar w:fldCharType="begin"/>
        </w:r>
        <w:r w:rsidR="007A1613">
          <w:rPr>
            <w:noProof/>
            <w:webHidden/>
          </w:rPr>
          <w:instrText xml:space="preserve"> PAGEREF _Toc416362760 \h </w:instrText>
        </w:r>
        <w:r w:rsidR="007A1613">
          <w:rPr>
            <w:noProof/>
            <w:webHidden/>
          </w:rPr>
        </w:r>
        <w:r w:rsidR="007A1613">
          <w:rPr>
            <w:noProof/>
            <w:webHidden/>
          </w:rPr>
          <w:fldChar w:fldCharType="separate"/>
        </w:r>
        <w:r w:rsidR="007A1613">
          <w:rPr>
            <w:noProof/>
            <w:webHidden/>
          </w:rPr>
          <w:t>42</w:t>
        </w:r>
        <w:r w:rsidR="007A1613">
          <w:rPr>
            <w:noProof/>
            <w:webHidden/>
          </w:rPr>
          <w:fldChar w:fldCharType="end"/>
        </w:r>
      </w:hyperlink>
    </w:p>
    <w:p w14:paraId="682CCAF6" w14:textId="0D624F46" w:rsidR="007A1613" w:rsidRDefault="00DF236E">
      <w:pPr>
        <w:pStyle w:val="TableofFigures"/>
        <w:tabs>
          <w:tab w:val="right" w:leader="dot" w:pos="8270"/>
        </w:tabs>
        <w:rPr>
          <w:noProof/>
          <w:sz w:val="22"/>
        </w:rPr>
      </w:pPr>
      <w:hyperlink w:anchor="_Toc416362761" w:history="1">
        <w:r w:rsidR="007A1613" w:rsidRPr="00D44B33">
          <w:rPr>
            <w:rStyle w:val="Hyperlink"/>
            <w:noProof/>
          </w:rPr>
          <w:t>Figure 4</w:t>
        </w:r>
        <w:r w:rsidR="007A1613" w:rsidRPr="00D44B33">
          <w:rPr>
            <w:rStyle w:val="Hyperlink"/>
            <w:noProof/>
          </w:rPr>
          <w:noBreakHyphen/>
          <w:t>5. Long Beach Met water demand and BrenSAP allocation for varying levels of conservation.</w:t>
        </w:r>
        <w:r w:rsidR="007A1613">
          <w:rPr>
            <w:noProof/>
            <w:webHidden/>
          </w:rPr>
          <w:tab/>
        </w:r>
        <w:r w:rsidR="007A1613">
          <w:rPr>
            <w:noProof/>
            <w:webHidden/>
          </w:rPr>
          <w:fldChar w:fldCharType="begin"/>
        </w:r>
        <w:r w:rsidR="007A1613">
          <w:rPr>
            <w:noProof/>
            <w:webHidden/>
          </w:rPr>
          <w:instrText xml:space="preserve"> PAGEREF _Toc416362761 \h </w:instrText>
        </w:r>
        <w:r w:rsidR="007A1613">
          <w:rPr>
            <w:noProof/>
            <w:webHidden/>
          </w:rPr>
        </w:r>
        <w:r w:rsidR="007A1613">
          <w:rPr>
            <w:noProof/>
            <w:webHidden/>
          </w:rPr>
          <w:fldChar w:fldCharType="separate"/>
        </w:r>
        <w:r w:rsidR="007A1613">
          <w:rPr>
            <w:noProof/>
            <w:webHidden/>
          </w:rPr>
          <w:t>44</w:t>
        </w:r>
        <w:r w:rsidR="007A1613">
          <w:rPr>
            <w:noProof/>
            <w:webHidden/>
          </w:rPr>
          <w:fldChar w:fldCharType="end"/>
        </w:r>
      </w:hyperlink>
    </w:p>
    <w:p w14:paraId="19733FCC" w14:textId="271A0D6B" w:rsidR="007A1613" w:rsidRDefault="00DF236E">
      <w:pPr>
        <w:pStyle w:val="TableofFigures"/>
        <w:tabs>
          <w:tab w:val="right" w:leader="dot" w:pos="8270"/>
        </w:tabs>
        <w:rPr>
          <w:noProof/>
          <w:sz w:val="22"/>
        </w:rPr>
      </w:pPr>
      <w:hyperlink w:anchor="_Toc416362762" w:history="1">
        <w:r w:rsidR="007A1613" w:rsidRPr="00D44B33">
          <w:rPr>
            <w:rStyle w:val="Hyperlink"/>
            <w:noProof/>
          </w:rPr>
          <w:t>Figure 4</w:t>
        </w:r>
        <w:r w:rsidR="007A1613" w:rsidRPr="00D44B33">
          <w:rPr>
            <w:rStyle w:val="Hyperlink"/>
            <w:noProof/>
          </w:rPr>
          <w:noBreakHyphen/>
          <w:t>6. When agencies conserve more, they are rewarded with a surplus that can be s</w:t>
        </w:r>
        <w:r w:rsidR="00AF7131">
          <w:rPr>
            <w:rStyle w:val="Hyperlink"/>
            <w:noProof/>
          </w:rPr>
          <w:t>old</w:t>
        </w:r>
        <w:r w:rsidR="007A1613" w:rsidRPr="00D44B33">
          <w:rPr>
            <w:rStyle w:val="Hyperlink"/>
            <w:noProof/>
          </w:rPr>
          <w:t>.</w:t>
        </w:r>
        <w:r w:rsidR="007A1613">
          <w:rPr>
            <w:noProof/>
            <w:webHidden/>
          </w:rPr>
          <w:tab/>
        </w:r>
        <w:r w:rsidR="007A1613">
          <w:rPr>
            <w:noProof/>
            <w:webHidden/>
          </w:rPr>
          <w:fldChar w:fldCharType="begin"/>
        </w:r>
        <w:r w:rsidR="007A1613">
          <w:rPr>
            <w:noProof/>
            <w:webHidden/>
          </w:rPr>
          <w:instrText xml:space="preserve"> PAGEREF _Toc416362762 \h </w:instrText>
        </w:r>
        <w:r w:rsidR="007A1613">
          <w:rPr>
            <w:noProof/>
            <w:webHidden/>
          </w:rPr>
        </w:r>
        <w:r w:rsidR="007A1613">
          <w:rPr>
            <w:noProof/>
            <w:webHidden/>
          </w:rPr>
          <w:fldChar w:fldCharType="separate"/>
        </w:r>
        <w:r w:rsidR="007A1613">
          <w:rPr>
            <w:noProof/>
            <w:webHidden/>
          </w:rPr>
          <w:t>45</w:t>
        </w:r>
        <w:r w:rsidR="007A1613">
          <w:rPr>
            <w:noProof/>
            <w:webHidden/>
          </w:rPr>
          <w:fldChar w:fldCharType="end"/>
        </w:r>
      </w:hyperlink>
    </w:p>
    <w:p w14:paraId="75633552" w14:textId="4D2A9E33" w:rsidR="007A1613" w:rsidRDefault="00DF236E">
      <w:pPr>
        <w:pStyle w:val="TableofFigures"/>
        <w:tabs>
          <w:tab w:val="right" w:leader="dot" w:pos="8270"/>
        </w:tabs>
        <w:rPr>
          <w:noProof/>
          <w:sz w:val="22"/>
        </w:rPr>
      </w:pPr>
      <w:hyperlink w:anchor="_Toc416362763" w:history="1">
        <w:r w:rsidR="00DB47DF">
          <w:rPr>
            <w:rStyle w:val="Hyperlink"/>
            <w:noProof/>
          </w:rPr>
          <w:t>Figure 4</w:t>
        </w:r>
        <w:r w:rsidR="00DB47DF">
          <w:rPr>
            <w:rStyle w:val="Hyperlink"/>
            <w:noProof/>
          </w:rPr>
          <w:noBreakHyphen/>
          <w:t>7. A m</w:t>
        </w:r>
        <w:r w:rsidR="007A1613" w:rsidRPr="00D44B33">
          <w:rPr>
            <w:rStyle w:val="Hyperlink"/>
            <w:noProof/>
          </w:rPr>
          <w:t>arket considerations flow path that illustrates the options available for the transfer of allocations among member agencies.</w:t>
        </w:r>
        <w:r w:rsidR="007A1613">
          <w:rPr>
            <w:noProof/>
            <w:webHidden/>
          </w:rPr>
          <w:tab/>
        </w:r>
        <w:r w:rsidR="007A1613">
          <w:rPr>
            <w:noProof/>
            <w:webHidden/>
          </w:rPr>
          <w:fldChar w:fldCharType="begin"/>
        </w:r>
        <w:r w:rsidR="007A1613">
          <w:rPr>
            <w:noProof/>
            <w:webHidden/>
          </w:rPr>
          <w:instrText xml:space="preserve"> PAGEREF _Toc416362763 \h </w:instrText>
        </w:r>
        <w:r w:rsidR="007A1613">
          <w:rPr>
            <w:noProof/>
            <w:webHidden/>
          </w:rPr>
        </w:r>
        <w:r w:rsidR="007A1613">
          <w:rPr>
            <w:noProof/>
            <w:webHidden/>
          </w:rPr>
          <w:fldChar w:fldCharType="separate"/>
        </w:r>
        <w:r w:rsidR="007A1613">
          <w:rPr>
            <w:noProof/>
            <w:webHidden/>
          </w:rPr>
          <w:t>46</w:t>
        </w:r>
        <w:r w:rsidR="007A1613">
          <w:rPr>
            <w:noProof/>
            <w:webHidden/>
          </w:rPr>
          <w:fldChar w:fldCharType="end"/>
        </w:r>
      </w:hyperlink>
    </w:p>
    <w:p w14:paraId="7A017E2D" w14:textId="723C746E" w:rsidR="007A1613" w:rsidRDefault="00DF236E">
      <w:pPr>
        <w:pStyle w:val="TableofFigures"/>
        <w:tabs>
          <w:tab w:val="right" w:leader="dot" w:pos="8270"/>
        </w:tabs>
        <w:rPr>
          <w:noProof/>
          <w:sz w:val="22"/>
        </w:rPr>
      </w:pPr>
      <w:hyperlink w:anchor="_Toc416362764" w:history="1">
        <w:r w:rsidR="007A1613" w:rsidRPr="00D44B33">
          <w:rPr>
            <w:rStyle w:val="Hyperlink"/>
            <w:noProof/>
          </w:rPr>
          <w:t>Figure 5</w:t>
        </w:r>
        <w:r w:rsidR="007A1613" w:rsidRPr="00D44B33">
          <w:rPr>
            <w:rStyle w:val="Hyperlink"/>
            <w:noProof/>
          </w:rPr>
          <w:noBreakHyphen/>
          <w:t>1. Conservation costs for two agencies can be modelled as demand curves that reflect th</w:t>
        </w:r>
        <w:r w:rsidR="00DB47DF">
          <w:rPr>
            <w:rStyle w:val="Hyperlink"/>
            <w:noProof/>
          </w:rPr>
          <w:t>e value of water to each agency</w:t>
        </w:r>
        <w:r w:rsidR="007A1613">
          <w:rPr>
            <w:noProof/>
            <w:webHidden/>
          </w:rPr>
          <w:tab/>
        </w:r>
        <w:r w:rsidR="007A1613">
          <w:rPr>
            <w:noProof/>
            <w:webHidden/>
          </w:rPr>
          <w:fldChar w:fldCharType="begin"/>
        </w:r>
        <w:r w:rsidR="007A1613">
          <w:rPr>
            <w:noProof/>
            <w:webHidden/>
          </w:rPr>
          <w:instrText xml:space="preserve"> PAGEREF _Toc416362764 \h </w:instrText>
        </w:r>
        <w:r w:rsidR="007A1613">
          <w:rPr>
            <w:noProof/>
            <w:webHidden/>
          </w:rPr>
        </w:r>
        <w:r w:rsidR="007A1613">
          <w:rPr>
            <w:noProof/>
            <w:webHidden/>
          </w:rPr>
          <w:fldChar w:fldCharType="separate"/>
        </w:r>
        <w:r w:rsidR="007A1613">
          <w:rPr>
            <w:noProof/>
            <w:webHidden/>
          </w:rPr>
          <w:t>51</w:t>
        </w:r>
        <w:r w:rsidR="007A1613">
          <w:rPr>
            <w:noProof/>
            <w:webHidden/>
          </w:rPr>
          <w:fldChar w:fldCharType="end"/>
        </w:r>
      </w:hyperlink>
    </w:p>
    <w:p w14:paraId="26527A10" w14:textId="77777777" w:rsidR="007A1613" w:rsidRDefault="00DF236E">
      <w:pPr>
        <w:pStyle w:val="TableofFigures"/>
        <w:tabs>
          <w:tab w:val="right" w:leader="dot" w:pos="8270"/>
        </w:tabs>
        <w:rPr>
          <w:noProof/>
          <w:sz w:val="22"/>
        </w:rPr>
      </w:pPr>
      <w:hyperlink w:anchor="_Toc416362765" w:history="1">
        <w:r w:rsidR="007A1613" w:rsidRPr="00D44B33">
          <w:rPr>
            <w:rStyle w:val="Hyperlink"/>
            <w:noProof/>
          </w:rPr>
          <w:t>Figure 9</w:t>
        </w:r>
        <w:r w:rsidR="007A1613" w:rsidRPr="00D44B33">
          <w:rPr>
            <w:rStyle w:val="Hyperlink"/>
            <w:noProof/>
          </w:rPr>
          <w:noBreakHyphen/>
          <w:t>1. Met’s 2015 Supply Allocation Plan.</w:t>
        </w:r>
        <w:r w:rsidR="007A1613">
          <w:rPr>
            <w:noProof/>
            <w:webHidden/>
          </w:rPr>
          <w:tab/>
        </w:r>
        <w:r w:rsidR="007A1613">
          <w:rPr>
            <w:noProof/>
            <w:webHidden/>
          </w:rPr>
          <w:fldChar w:fldCharType="begin"/>
        </w:r>
        <w:r w:rsidR="007A1613">
          <w:rPr>
            <w:noProof/>
            <w:webHidden/>
          </w:rPr>
          <w:instrText xml:space="preserve"> PAGEREF _Toc416362765 \h </w:instrText>
        </w:r>
        <w:r w:rsidR="007A1613">
          <w:rPr>
            <w:noProof/>
            <w:webHidden/>
          </w:rPr>
        </w:r>
        <w:r w:rsidR="007A1613">
          <w:rPr>
            <w:noProof/>
            <w:webHidden/>
          </w:rPr>
          <w:fldChar w:fldCharType="separate"/>
        </w:r>
        <w:r w:rsidR="007A1613">
          <w:rPr>
            <w:noProof/>
            <w:webHidden/>
          </w:rPr>
          <w:t>60</w:t>
        </w:r>
        <w:r w:rsidR="007A1613">
          <w:rPr>
            <w:noProof/>
            <w:webHidden/>
          </w:rPr>
          <w:fldChar w:fldCharType="end"/>
        </w:r>
      </w:hyperlink>
    </w:p>
    <w:p w14:paraId="45217913" w14:textId="54206F24" w:rsidR="007A1613" w:rsidRDefault="00DF236E">
      <w:pPr>
        <w:pStyle w:val="TableofFigures"/>
        <w:tabs>
          <w:tab w:val="right" w:leader="dot" w:pos="8270"/>
        </w:tabs>
        <w:rPr>
          <w:noProof/>
          <w:sz w:val="22"/>
        </w:rPr>
      </w:pPr>
      <w:hyperlink w:anchor="_Toc416362766" w:history="1">
        <w:r w:rsidR="007A1613" w:rsidRPr="00D44B33">
          <w:rPr>
            <w:rStyle w:val="Hyperlink"/>
            <w:noProof/>
          </w:rPr>
          <w:t>Figure 10</w:t>
        </w:r>
        <w:r w:rsidR="007A1613" w:rsidRPr="00D44B33">
          <w:rPr>
            <w:rStyle w:val="Hyperlink"/>
            <w:noProof/>
          </w:rPr>
          <w:noBreakHyphen/>
          <w:t>1. Comparison between the water demanded and allocation provided for</w:t>
        </w:r>
        <w:r w:rsidR="00955309">
          <w:rPr>
            <w:rStyle w:val="Hyperlink"/>
            <w:noProof/>
          </w:rPr>
          <w:t xml:space="preserve"> a low gpcd agency </w:t>
        </w:r>
        <w:r w:rsidR="007A1613" w:rsidRPr="00D44B33">
          <w:rPr>
            <w:rStyle w:val="Hyperlink"/>
            <w:noProof/>
          </w:rPr>
          <w:t xml:space="preserve">and a </w:t>
        </w:r>
        <w:r w:rsidR="00955309">
          <w:rPr>
            <w:rStyle w:val="Hyperlink"/>
            <w:noProof/>
          </w:rPr>
          <w:t>high gpcd allocation</w:t>
        </w:r>
        <w:r w:rsidR="007A1613">
          <w:rPr>
            <w:noProof/>
            <w:webHidden/>
          </w:rPr>
          <w:tab/>
        </w:r>
        <w:r w:rsidR="007A1613">
          <w:rPr>
            <w:noProof/>
            <w:webHidden/>
          </w:rPr>
          <w:fldChar w:fldCharType="begin"/>
        </w:r>
        <w:r w:rsidR="007A1613">
          <w:rPr>
            <w:noProof/>
            <w:webHidden/>
          </w:rPr>
          <w:instrText xml:space="preserve"> PAGEREF _Toc416362766 \h </w:instrText>
        </w:r>
        <w:r w:rsidR="007A1613">
          <w:rPr>
            <w:noProof/>
            <w:webHidden/>
          </w:rPr>
        </w:r>
        <w:r w:rsidR="007A1613">
          <w:rPr>
            <w:noProof/>
            <w:webHidden/>
          </w:rPr>
          <w:fldChar w:fldCharType="separate"/>
        </w:r>
        <w:r w:rsidR="007A1613">
          <w:rPr>
            <w:noProof/>
            <w:webHidden/>
          </w:rPr>
          <w:t>75</w:t>
        </w:r>
        <w:r w:rsidR="007A1613">
          <w:rPr>
            <w:noProof/>
            <w:webHidden/>
          </w:rPr>
          <w:fldChar w:fldCharType="end"/>
        </w:r>
      </w:hyperlink>
    </w:p>
    <w:p w14:paraId="266DF50C" w14:textId="77777777" w:rsidR="007A07FC" w:rsidRDefault="007A1613" w:rsidP="007A07FC">
      <w:r>
        <w:fldChar w:fldCharType="end"/>
      </w:r>
    </w:p>
    <w:p w14:paraId="635EA4F3" w14:textId="77777777" w:rsidR="007A07FC" w:rsidRDefault="007A07FC" w:rsidP="007A07FC">
      <w:pPr>
        <w:sectPr w:rsidR="007A07FC" w:rsidSect="00C655BD">
          <w:footerReference w:type="default" r:id="rId14"/>
          <w:footerReference w:type="first" r:id="rId15"/>
          <w:endnotePr>
            <w:numFmt w:val="decimal"/>
          </w:endnotePr>
          <w:pgSz w:w="12240" w:h="15840"/>
          <w:pgMar w:top="1800" w:right="1800" w:bottom="1800" w:left="2160" w:header="720" w:footer="720" w:gutter="0"/>
          <w:cols w:space="720"/>
          <w:docGrid w:linePitch="299"/>
        </w:sectPr>
      </w:pPr>
    </w:p>
    <w:p w14:paraId="4B31E072" w14:textId="206E0B3C" w:rsidR="00DD52DA" w:rsidRPr="00D55C6F" w:rsidRDefault="00CE7A30" w:rsidP="00301B75">
      <w:pPr>
        <w:pStyle w:val="Heading1"/>
      </w:pPr>
      <w:bookmarkStart w:id="7" w:name="_Toc416611290"/>
      <w:r>
        <w:lastRenderedPageBreak/>
        <w:t>Introduction</w:t>
      </w:r>
      <w:bookmarkEnd w:id="5"/>
      <w:bookmarkEnd w:id="6"/>
      <w:bookmarkEnd w:id="7"/>
    </w:p>
    <w:p w14:paraId="0A1A5F5B" w14:textId="37D2B7F1" w:rsidR="00C51BCC" w:rsidRPr="00C51BCC" w:rsidRDefault="00C51BCC" w:rsidP="00C51BCC">
      <w:pPr>
        <w:keepNext/>
        <w:framePr w:dropCap="drop" w:lines="3" w:wrap="around" w:vAnchor="text" w:hAnchor="text"/>
        <w:spacing w:after="0" w:line="1001" w:lineRule="exact"/>
        <w:textAlignment w:val="baseline"/>
        <w:rPr>
          <w:color w:val="B64926" w:themeColor="accent3"/>
          <w:position w:val="-9"/>
          <w:sz w:val="125"/>
        </w:rPr>
      </w:pPr>
      <w:r w:rsidRPr="00C51BCC">
        <w:rPr>
          <w:color w:val="B64926" w:themeColor="accent3"/>
          <w:position w:val="-9"/>
          <w:sz w:val="125"/>
        </w:rPr>
        <w:t>I</w:t>
      </w:r>
    </w:p>
    <w:p w14:paraId="213E1AFE" w14:textId="199DEF83" w:rsidR="0035246E" w:rsidRDefault="00CD7E22" w:rsidP="00301B75">
      <w:r>
        <w:t xml:space="preserve">n </w:t>
      </w:r>
      <w:r w:rsidR="009E1695">
        <w:t xml:space="preserve">January </w:t>
      </w:r>
      <w:r>
        <w:t>201</w:t>
      </w:r>
      <w:r w:rsidR="009528B6">
        <w:t>4</w:t>
      </w:r>
      <w:r>
        <w:t xml:space="preserve">, in </w:t>
      </w:r>
      <w:r w:rsidR="003753C0">
        <w:t>year four of one of</w:t>
      </w:r>
      <w:r>
        <w:t xml:space="preserve"> the worst drought</w:t>
      </w:r>
      <w:r w:rsidR="003753C0">
        <w:t>s</w:t>
      </w:r>
      <w:r>
        <w:t xml:space="preserve"> in California history, Governor </w:t>
      </w:r>
      <w:r w:rsidR="00A55081">
        <w:t xml:space="preserve">Jerry </w:t>
      </w:r>
      <w:r>
        <w:t>Brown</w:t>
      </w:r>
      <w:r w:rsidR="009E1695">
        <w:t xml:space="preserve"> </w:t>
      </w:r>
      <w:r w:rsidR="003753C0">
        <w:t>called a press conference to declare</w:t>
      </w:r>
      <w:r w:rsidR="009E1695">
        <w:t xml:space="preserve"> a state of emergency</w:t>
      </w:r>
      <w:r w:rsidR="003753C0">
        <w:t>. The Governor urged water agencies</w:t>
      </w:r>
      <w:r>
        <w:t xml:space="preserve"> throughout </w:t>
      </w:r>
      <w:r w:rsidR="009E1695">
        <w:t xml:space="preserve">the state to </w:t>
      </w:r>
      <w:r w:rsidR="003753C0">
        <w:t xml:space="preserve">voluntarily </w:t>
      </w:r>
      <w:r w:rsidR="009E1695">
        <w:t xml:space="preserve">reduce their </w:t>
      </w:r>
      <w:r>
        <w:t xml:space="preserve">use by 20%. </w:t>
      </w:r>
      <w:r w:rsidR="003753C0">
        <w:t>Yet i</w:t>
      </w:r>
      <w:r w:rsidR="0024215C">
        <w:t xml:space="preserve">n the </w:t>
      </w:r>
      <w:r w:rsidR="003753C0">
        <w:t>14 months since this call to action</w:t>
      </w:r>
      <w:r w:rsidR="0024215C">
        <w:t xml:space="preserve"> there was only one month where California met its water use target. </w:t>
      </w:r>
      <w:r w:rsidR="003753C0">
        <w:t xml:space="preserve">In March of 2015 Governor Brown </w:t>
      </w:r>
      <w:r w:rsidR="0024215C">
        <w:t xml:space="preserve">responded by instituting a mandatory 25% reduction for urban water users. </w:t>
      </w:r>
    </w:p>
    <w:p w14:paraId="2E18103E" w14:textId="395840BC" w:rsidR="008941EF" w:rsidRDefault="0024215C" w:rsidP="00301B75">
      <w:r>
        <w:t xml:space="preserve">California’s three main water supplies are snowpack, surface storage, and groundwater. </w:t>
      </w:r>
      <w:r w:rsidR="0035246E">
        <w:t xml:space="preserve">All three of these sources of water are currently in severe decline. </w:t>
      </w:r>
      <w:r>
        <w:t>As of April 1</w:t>
      </w:r>
      <w:r w:rsidRPr="0010535C">
        <w:rPr>
          <w:vertAlign w:val="superscript"/>
        </w:rPr>
        <w:t>st</w:t>
      </w:r>
      <w:r w:rsidR="0035246E">
        <w:t xml:space="preserve">, the </w:t>
      </w:r>
      <w:r>
        <w:t>2015 Sierra Nevada snowpack is at 5% of normal</w:t>
      </w:r>
      <w:r w:rsidR="0035246E">
        <w:t>, the lowest snowpack level ever recorded</w:t>
      </w:r>
      <w:r>
        <w:t xml:space="preserve">. </w:t>
      </w:r>
      <w:r w:rsidR="0035246E">
        <w:t xml:space="preserve">Lake Mead, which supplies a large percentage of surface water storage for Southern California, is </w:t>
      </w:r>
      <w:r w:rsidR="001010D5">
        <w:t>also at a record low amount. Furthermore, California recently passed legislation for the management of groundwater supplies, as over 25% of groundwater basins in the state are considered threatened by overdraft and excessive extraction. Now, more than ever, the need for water conservation and wise management of our water supplies is apparent.</w:t>
      </w:r>
    </w:p>
    <w:p w14:paraId="1CA3AFDF" w14:textId="3BC88EC5" w:rsidR="005D756E" w:rsidRDefault="008941EF" w:rsidP="00301B75">
      <w:r>
        <w:t xml:space="preserve"> </w:t>
      </w:r>
      <w:r w:rsidR="00540FC5">
        <w:t>While it may be reasonable to ask for conservation in times of drought, the paradox we face is that when supplies ar</w:t>
      </w:r>
      <w:r w:rsidR="00096346">
        <w:t>e most limited, we often</w:t>
      </w:r>
      <w:r w:rsidR="00540FC5">
        <w:t xml:space="preserve"> need more. Because so much of the water we use is done so to support crops, lawns, and gardens, when </w:t>
      </w:r>
      <w:r w:rsidR="007B50A9">
        <w:t xml:space="preserve">there </w:t>
      </w:r>
      <w:proofErr w:type="gramStart"/>
      <w:r w:rsidR="007B50A9">
        <w:t>is no precipitation those needs</w:t>
      </w:r>
      <w:proofErr w:type="gramEnd"/>
      <w:r w:rsidR="007B50A9">
        <w:t xml:space="preserve"> </w:t>
      </w:r>
      <w:r w:rsidR="00540FC5">
        <w:t>are more reliant on stored water supplies than in normal years to sustain them. Therefore, without real changes in behavior, the use of our available water increases. We saw this illustrated at times during the summer of 2014, when, despite the governor’s plea, water use in Southern California actually rose from previous years.</w:t>
      </w:r>
    </w:p>
    <w:p w14:paraId="6D979B80" w14:textId="77777777" w:rsidR="00540FC5" w:rsidRDefault="00540FC5" w:rsidP="00540FC5">
      <w:r>
        <w:t>Given that reality, implementing conservation in the midst of a drought can be a difficult task. Abrupt changes in water supply call for abrupt changes in water use, which may have serious impacts economically and environmentally. The common expectation is that during these times we must all make sacrifices, and share the burden in a way that hopefully, minimizes the overall impact.</w:t>
      </w:r>
    </w:p>
    <w:p w14:paraId="6C357A54" w14:textId="77777777" w:rsidR="00540FC5" w:rsidRDefault="00540FC5" w:rsidP="00540FC5">
      <w:r>
        <w:t xml:space="preserve">However, an alternative to forcing action only when it is most needed is to do more to plan for and expect these periodic shocks in supply. Changing behavior and </w:t>
      </w:r>
      <w:r>
        <w:lastRenderedPageBreak/>
        <w:t xml:space="preserve">reducing </w:t>
      </w:r>
      <w:proofErr w:type="gramStart"/>
      <w:r>
        <w:t>long term</w:t>
      </w:r>
      <w:proofErr w:type="gramEnd"/>
      <w:r>
        <w:t xml:space="preserve"> water use over time will better prepare us for drought, and lessen the impact that is felt when it does occur.</w:t>
      </w:r>
    </w:p>
    <w:p w14:paraId="5AA2DA08" w14:textId="363BF037" w:rsidR="00540FC5" w:rsidRDefault="00540FC5" w:rsidP="00540FC5">
      <w:r>
        <w:t>Long Beach is an example of an agency in Southern California that is taking the long view with regard to their water needs. With the implementation of creative and aggressive water conservation strategies over the last few decades, the Long Beach Water Department has reduced their city’s water use to the lowest it has been since 1958, despite an increasing population. However, for an agency like Long Beach that has already made great strides to reduce their demand, a call to reduc</w:t>
      </w:r>
      <w:r w:rsidR="00096346">
        <w:t xml:space="preserve">e even further puts more </w:t>
      </w:r>
      <w:proofErr w:type="gramStart"/>
      <w:r w:rsidR="00096346">
        <w:t>burden</w:t>
      </w:r>
      <w:proofErr w:type="gramEnd"/>
      <w:r>
        <w:t xml:space="preserve"> on them because they have already uncovered many of the opportunities to conserve. In addition, the current system of portioning water supply suggests that when supplies become truly limited, as may happen in 2015, the water they receive will be reduced even further. Effectively, the conservation Long Beach has worked so hard to accomplish at the expense of its own residents will be redistributed to benefit others without compensation.</w:t>
      </w:r>
    </w:p>
    <w:p w14:paraId="730540DF" w14:textId="39079E4E" w:rsidR="00CD7E22" w:rsidRDefault="00540FC5" w:rsidP="00540FC5">
      <w:r>
        <w:t>The 2014 drought then raises an interesting question: Why should water agencies like the Long Beach Water Department conserve water when there is seemingly little benefit for them to do so</w:t>
      </w:r>
      <w:r w:rsidR="002D7855">
        <w:t>?</w:t>
      </w:r>
      <w:r>
        <w:t xml:space="preserve"> And further, in environments like Southern California where trends predict longer and harsher droughts in the years ahead, what might be done to motivate a more conscientious water use? How might we more proactively realize the benefits of cons</w:t>
      </w:r>
      <w:r w:rsidR="003B0C30">
        <w:t xml:space="preserve">ervation to insulate ourselves </w:t>
      </w:r>
      <w:r>
        <w:t>from inevitable shocks in supply?</w:t>
      </w:r>
    </w:p>
    <w:p w14:paraId="5C622989" w14:textId="3CE0543F" w:rsidR="00CE7A30" w:rsidRPr="00CE7A30" w:rsidRDefault="00CE7A30" w:rsidP="00FD207F">
      <w:pPr>
        <w:pStyle w:val="Heading2"/>
      </w:pPr>
      <w:bookmarkStart w:id="8" w:name="_Ref411879990"/>
      <w:bookmarkStart w:id="9" w:name="_Toc416611291"/>
      <w:r w:rsidRPr="00CE7A30">
        <w:t>Project Description</w:t>
      </w:r>
      <w:bookmarkEnd w:id="8"/>
      <w:bookmarkEnd w:id="9"/>
    </w:p>
    <w:p w14:paraId="25A31A66" w14:textId="77777777" w:rsidR="00540FC5" w:rsidRPr="00836620" w:rsidRDefault="00540FC5" w:rsidP="00540FC5">
      <w:pPr>
        <w:rPr>
          <w:b/>
        </w:rPr>
      </w:pPr>
      <w:r w:rsidRPr="00836620">
        <w:rPr>
          <w:b/>
        </w:rPr>
        <w:t>The conservation Long Beach has done to date causes them to receive less water in times of drought than if they had not conserved at all.</w:t>
      </w:r>
    </w:p>
    <w:p w14:paraId="7D386F34" w14:textId="77777777" w:rsidR="00540FC5" w:rsidRDefault="00540FC5" w:rsidP="00540FC5">
      <w:r>
        <w:t>Our research examines the current way that water is allocated in Southern California to understand the implications for conservation. In this paper we consider two questions.</w:t>
      </w:r>
    </w:p>
    <w:p w14:paraId="790F07E9" w14:textId="77777777" w:rsidR="00540FC5" w:rsidRDefault="00540FC5" w:rsidP="00540FC5">
      <w:pPr>
        <w:pStyle w:val="Heading3"/>
      </w:pPr>
      <w:r w:rsidRPr="002832B1">
        <w:t>R</w:t>
      </w:r>
      <w:r>
        <w:t>esearch Question 1</w:t>
      </w:r>
    </w:p>
    <w:p w14:paraId="50AF76BF" w14:textId="2520ED21" w:rsidR="00540FC5" w:rsidRDefault="00540FC5" w:rsidP="00540FC5">
      <w:pPr>
        <w:rPr>
          <w:i/>
        </w:rPr>
      </w:pPr>
      <w:r w:rsidRPr="00836620">
        <w:rPr>
          <w:i/>
        </w:rPr>
        <w:t>How does the way water is currently allo</w:t>
      </w:r>
      <w:r w:rsidR="00DF236E">
        <w:rPr>
          <w:i/>
        </w:rPr>
        <w:t>cated in Southern California encourage conservation</w:t>
      </w:r>
      <w:r w:rsidRPr="00836620">
        <w:rPr>
          <w:i/>
        </w:rPr>
        <w:t xml:space="preserve">?  </w:t>
      </w:r>
    </w:p>
    <w:p w14:paraId="0ED01FD1" w14:textId="5845592D" w:rsidR="00540FC5" w:rsidRDefault="00540FC5" w:rsidP="00540FC5">
      <w:r w:rsidRPr="00836620">
        <w:lastRenderedPageBreak/>
        <w:t>How do an agency’s conservation efforts affect how much water they can purchase from Met under the current system of water distribution, particularly in times of drought?</w:t>
      </w:r>
    </w:p>
    <w:p w14:paraId="61613D4F" w14:textId="77777777" w:rsidR="00540FC5" w:rsidRDefault="00540FC5" w:rsidP="00540FC5">
      <w:pPr>
        <w:pStyle w:val="Heading3"/>
      </w:pPr>
      <w:r w:rsidRPr="002832B1">
        <w:t>R</w:t>
      </w:r>
      <w:r>
        <w:t>esearch Question 2</w:t>
      </w:r>
    </w:p>
    <w:p w14:paraId="6A79FC3A" w14:textId="5C4AF9B0" w:rsidR="00540FC5" w:rsidRDefault="00540FC5" w:rsidP="00540FC5">
      <w:pPr>
        <w:rPr>
          <w:i/>
        </w:rPr>
      </w:pPr>
      <w:r>
        <w:rPr>
          <w:i/>
        </w:rPr>
        <w:t>How could</w:t>
      </w:r>
      <w:r w:rsidRPr="00836620">
        <w:rPr>
          <w:i/>
        </w:rPr>
        <w:t xml:space="preserve"> we develop a new allocation system </w:t>
      </w:r>
      <w:r>
        <w:rPr>
          <w:i/>
        </w:rPr>
        <w:t>to</w:t>
      </w:r>
      <w:r w:rsidR="00DF236E">
        <w:rPr>
          <w:i/>
        </w:rPr>
        <w:t xml:space="preserve"> promot</w:t>
      </w:r>
      <w:r w:rsidRPr="00836620">
        <w:rPr>
          <w:i/>
        </w:rPr>
        <w:t>e conservation</w:t>
      </w:r>
      <w:r>
        <w:rPr>
          <w:i/>
        </w:rPr>
        <w:t>, and how would the new system compare to the current system</w:t>
      </w:r>
      <w:r w:rsidRPr="00836620">
        <w:rPr>
          <w:i/>
        </w:rPr>
        <w:t>?</w:t>
      </w:r>
    </w:p>
    <w:p w14:paraId="6D9638D7" w14:textId="64CE38ED" w:rsidR="00836620" w:rsidRPr="00836620" w:rsidRDefault="00540FC5" w:rsidP="00540FC5">
      <w:r w:rsidRPr="00836620">
        <w:t xml:space="preserve">What outcomes </w:t>
      </w:r>
      <w:r>
        <w:t xml:space="preserve">will an </w:t>
      </w:r>
      <w:r w:rsidRPr="00836620">
        <w:t>alternative allocation strategy have for the Long Beach Water Department</w:t>
      </w:r>
      <w:r>
        <w:t xml:space="preserve"> and</w:t>
      </w:r>
      <w:r w:rsidRPr="00836620">
        <w:t xml:space="preserve"> the Met system as a whole?</w:t>
      </w:r>
    </w:p>
    <w:p w14:paraId="20463CE1" w14:textId="77777777" w:rsidR="00CD7E22" w:rsidRPr="00D55C6F" w:rsidRDefault="00CD7E22" w:rsidP="002832B1">
      <w:pPr>
        <w:pStyle w:val="Heading2"/>
      </w:pPr>
      <w:bookmarkStart w:id="10" w:name="_Toc411777895"/>
      <w:bookmarkStart w:id="11" w:name="_Toc416611292"/>
      <w:bookmarkEnd w:id="10"/>
      <w:r w:rsidRPr="00D55C6F">
        <w:t>Significance</w:t>
      </w:r>
      <w:bookmarkEnd w:id="11"/>
    </w:p>
    <w:p w14:paraId="5589D61F" w14:textId="21238766" w:rsidR="00EB31FE" w:rsidRDefault="00CD7E22" w:rsidP="001466DF">
      <w:pPr>
        <w:rPr>
          <w:b/>
        </w:rPr>
        <w:sectPr w:rsidR="00EB31FE" w:rsidSect="00C655BD">
          <w:endnotePr>
            <w:numFmt w:val="decimal"/>
          </w:endnotePr>
          <w:pgSz w:w="12240" w:h="15840"/>
          <w:pgMar w:top="1800" w:right="1800" w:bottom="1800" w:left="2160" w:header="720" w:footer="720" w:gutter="0"/>
          <w:cols w:space="720"/>
          <w:docGrid w:linePitch="299"/>
        </w:sectPr>
      </w:pPr>
      <w:r>
        <w:t>Population growth, sca</w:t>
      </w:r>
      <w:r w:rsidR="00292F2B">
        <w:t xml:space="preserve">rce water supplies, </w:t>
      </w:r>
      <w:r>
        <w:t xml:space="preserve">drought and climate change </w:t>
      </w:r>
      <w:r w:rsidR="00292F2B">
        <w:t>require Californians to conserve</w:t>
      </w:r>
      <w:r>
        <w:t xml:space="preserve"> and allocate water </w:t>
      </w:r>
      <w:r w:rsidR="00292F2B">
        <w:t>e</w:t>
      </w:r>
      <w:r>
        <w:t xml:space="preserve">fficiently to meet the diverse needs of water users. Our analysis shows that the current water distribution system used by Met actually discourages conservation and encourages increased water consumption as a means to prepare for drought. Our exploration of alternative allocation strategies provides a foundation on which to discuss these issues with the current system, and illustrates the advantages that may result from changing the status quo. Implementing a system that </w:t>
      </w:r>
      <w:r w:rsidR="001466DF" w:rsidRPr="001466DF">
        <w:t>promotes long-term and wide-scale</w:t>
      </w:r>
      <w:r w:rsidR="001466DF">
        <w:t xml:space="preserve"> conservation </w:t>
      </w:r>
      <w:r>
        <w:t>may have profound implications for millions of water users throughout southern California and across the state.</w:t>
      </w:r>
    </w:p>
    <w:p w14:paraId="64F625B8" w14:textId="6C3F5905" w:rsidR="00807FC9" w:rsidRPr="002832B1" w:rsidRDefault="00CD7E22" w:rsidP="00301B75">
      <w:pPr>
        <w:pStyle w:val="Heading1"/>
      </w:pPr>
      <w:bookmarkStart w:id="12" w:name="_Toc411777897"/>
      <w:bookmarkStart w:id="13" w:name="_Toc416611293"/>
      <w:bookmarkEnd w:id="12"/>
      <w:r w:rsidRPr="002832B1">
        <w:lastRenderedPageBreak/>
        <w:t>Background</w:t>
      </w:r>
      <w:bookmarkEnd w:id="13"/>
    </w:p>
    <w:p w14:paraId="059C937F" w14:textId="15F32BE6" w:rsidR="00E21ED9" w:rsidRPr="002832B1" w:rsidRDefault="00807FC9" w:rsidP="00301B75">
      <w:pPr>
        <w:pStyle w:val="Heading2"/>
      </w:pPr>
      <w:bookmarkStart w:id="14" w:name="_Toc416611294"/>
      <w:r w:rsidRPr="002832B1">
        <w:t>California D</w:t>
      </w:r>
      <w:r w:rsidR="00E21ED9" w:rsidRPr="002832B1">
        <w:t>rought</w:t>
      </w:r>
      <w:bookmarkEnd w:id="14"/>
    </w:p>
    <w:p w14:paraId="7B895B03" w14:textId="3040D8EC" w:rsidR="00CF4585" w:rsidRDefault="009E1695" w:rsidP="00D14769">
      <w:r>
        <w:t xml:space="preserve">On January 17, 2014, </w:t>
      </w:r>
      <w:r w:rsidR="004352B4">
        <w:t xml:space="preserve">Governor </w:t>
      </w:r>
      <w:r w:rsidR="00941E6E">
        <w:t>Jerry</w:t>
      </w:r>
      <w:r w:rsidR="004352B4">
        <w:t xml:space="preserve"> Brown proclaimed a State of Emergency in </w:t>
      </w:r>
      <w:r>
        <w:t>California in response to the ongoing drought.</w:t>
      </w:r>
      <w:r w:rsidRPr="009E1695">
        <w:rPr>
          <w:rStyle w:val="FootnoteReference"/>
        </w:rPr>
        <w:t xml:space="preserve"> </w:t>
      </w:r>
      <w:r w:rsidR="0017765B">
        <w:rPr>
          <w:rStyle w:val="EndnoteReference"/>
        </w:rPr>
        <w:endnoteReference w:id="1"/>
      </w:r>
      <w:r w:rsidR="0017765B">
        <w:t xml:space="preserve"> </w:t>
      </w:r>
      <w:r w:rsidR="004352B4">
        <w:t xml:space="preserve">2013 </w:t>
      </w:r>
      <w:r>
        <w:t>had ended</w:t>
      </w:r>
      <w:r w:rsidR="003E1EFA">
        <w:t xml:space="preserve"> as the driest year on record</w:t>
      </w:r>
      <w:r w:rsidR="006A3354">
        <w:t>,</w:t>
      </w:r>
      <w:r w:rsidR="003E1EFA">
        <w:t xml:space="preserve"> and available water supplies </w:t>
      </w:r>
      <w:r>
        <w:t xml:space="preserve">were </w:t>
      </w:r>
      <w:r w:rsidR="003E1EFA">
        <w:t>at levels well below</w:t>
      </w:r>
      <w:r w:rsidR="001D3206">
        <w:t xml:space="preserve"> average throughout the state.</w:t>
      </w:r>
      <w:r w:rsidR="003E1EFA">
        <w:t xml:space="preserve"> </w:t>
      </w:r>
      <w:r w:rsidR="006A3354">
        <w:t xml:space="preserve">As part of that proclamation, Governor Brown also urged </w:t>
      </w:r>
      <w:r w:rsidR="00CF4585">
        <w:t xml:space="preserve">the state’s </w:t>
      </w:r>
      <w:r w:rsidR="0086324B">
        <w:t>water utilities</w:t>
      </w:r>
      <w:r w:rsidR="00CF4585">
        <w:t xml:space="preserve"> to reduce their water use by</w:t>
      </w:r>
      <w:r>
        <w:t xml:space="preserve"> 20%</w:t>
      </w:r>
      <w:r w:rsidR="00411F84">
        <w:t xml:space="preserve"> </w:t>
      </w:r>
      <w:r w:rsidR="00CF4585">
        <w:t>below 2013 levels.</w:t>
      </w:r>
    </w:p>
    <w:p w14:paraId="54E49F1A" w14:textId="78562971" w:rsidR="00CF4585" w:rsidRDefault="00543B87" w:rsidP="00D14769">
      <w:r>
        <w:t>Southern California</w:t>
      </w:r>
      <w:r w:rsidR="00EC137F">
        <w:t xml:space="preserve">’s urban water suppliers </w:t>
      </w:r>
      <w:r w:rsidR="00CF4585">
        <w:t>were slow to respond.</w:t>
      </w:r>
      <w:r w:rsidR="00EC137F">
        <w:t xml:space="preserve"> By summer, 30% of </w:t>
      </w:r>
      <w:r w:rsidR="0086324B">
        <w:t xml:space="preserve">suppliers had not implemented any local water use restrictions. </w:t>
      </w:r>
      <w:r w:rsidR="003D4A87">
        <w:t xml:space="preserve">Newspapers reported that usage in Southern California for the month of May had actually </w:t>
      </w:r>
      <w:r w:rsidR="003D4A87" w:rsidRPr="003D4A87">
        <w:rPr>
          <w:i/>
        </w:rPr>
        <w:t>increased</w:t>
      </w:r>
      <w:r w:rsidR="003D4A87">
        <w:t xml:space="preserve"> by </w:t>
      </w:r>
      <w:r w:rsidR="003D4A87" w:rsidRPr="003D4A87">
        <w:t>8</w:t>
      </w:r>
      <w:r w:rsidR="003D4A87">
        <w:t>% over 2013.</w:t>
      </w:r>
      <w:r w:rsidR="003D4A87">
        <w:rPr>
          <w:rStyle w:val="EndnoteReference"/>
        </w:rPr>
        <w:endnoteReference w:id="2"/>
      </w:r>
      <w:r w:rsidR="003D4A87">
        <w:t xml:space="preserve"> </w:t>
      </w:r>
      <w:r w:rsidR="00EC137F">
        <w:t>And i</w:t>
      </w:r>
      <w:r w:rsidR="00CF4585">
        <w:t>n July, the State Water Resources C</w:t>
      </w:r>
      <w:r w:rsidR="001466DF">
        <w:t>ontrol Board hastened conservation</w:t>
      </w:r>
      <w:r w:rsidR="00CF4585">
        <w:t xml:space="preserve"> by a</w:t>
      </w:r>
      <w:r w:rsidR="001466DF">
        <w:t xml:space="preserve">pproving emergency </w:t>
      </w:r>
      <w:r w:rsidR="00CF4585">
        <w:t xml:space="preserve">regulations that authorized retail </w:t>
      </w:r>
      <w:r w:rsidR="003D4A87">
        <w:t xml:space="preserve">water </w:t>
      </w:r>
      <w:r w:rsidR="00CF4585">
        <w:t>agencies to fine customers for wasteful uses</w:t>
      </w:r>
      <w:r w:rsidR="003D4A87">
        <w:t>.</w:t>
      </w:r>
      <w:r w:rsidR="003D4A87">
        <w:rPr>
          <w:rStyle w:val="EndnoteReference"/>
        </w:rPr>
        <w:endnoteReference w:id="3"/>
      </w:r>
      <w:r w:rsidR="003D4A87">
        <w:t xml:space="preserve"> </w:t>
      </w:r>
      <w:r w:rsidR="00EC137F">
        <w:t>Yet as of March 2015, more than a year after his declaration, t</w:t>
      </w:r>
      <w:r w:rsidR="00AE6EBF">
        <w:t xml:space="preserve">he Governor’s 20% reduction goal was </w:t>
      </w:r>
      <w:r w:rsidR="00EC137F">
        <w:t xml:space="preserve">only met in a single month – December 2014. </w:t>
      </w:r>
      <w:proofErr w:type="gramStart"/>
      <w:r w:rsidR="00CF4585">
        <w:t>(</w:t>
      </w:r>
      <w:r w:rsidR="00CF4585">
        <w:fldChar w:fldCharType="begin"/>
      </w:r>
      <w:r w:rsidR="00CF4585">
        <w:instrText xml:space="preserve"> REF _Ref411856205 \h </w:instrText>
      </w:r>
      <w:r w:rsidR="00CF4585">
        <w:fldChar w:fldCharType="separate"/>
      </w:r>
      <w:r w:rsidR="006B398D">
        <w:t xml:space="preserve">Figure </w:t>
      </w:r>
      <w:r w:rsidR="006B398D">
        <w:rPr>
          <w:noProof/>
        </w:rPr>
        <w:t>2</w:t>
      </w:r>
      <w:r w:rsidR="006B398D">
        <w:noBreakHyphen/>
      </w:r>
      <w:r w:rsidR="006B398D">
        <w:rPr>
          <w:noProof/>
        </w:rPr>
        <w:t>1</w:t>
      </w:r>
      <w:r w:rsidR="00CF4585">
        <w:fldChar w:fldCharType="end"/>
      </w:r>
      <w:r w:rsidR="00CF4585">
        <w:t>).</w:t>
      </w:r>
      <w:proofErr w:type="gramEnd"/>
      <w:r w:rsidR="005657BC">
        <w:rPr>
          <w:rStyle w:val="EndnoteReference"/>
        </w:rPr>
        <w:endnoteReference w:id="4"/>
      </w:r>
    </w:p>
    <w:p w14:paraId="62D32C93" w14:textId="52727935" w:rsidR="00411F84" w:rsidRDefault="006A3354" w:rsidP="00D14769">
      <w:r>
        <w:t xml:space="preserve">California residents are </w:t>
      </w:r>
      <w:r w:rsidR="00CF4585">
        <w:t xml:space="preserve">now </w:t>
      </w:r>
      <w:r w:rsidR="00A95EB9">
        <w:t>experiencing their</w:t>
      </w:r>
      <w:r>
        <w:t xml:space="preserve"> fourth consec</w:t>
      </w:r>
      <w:r w:rsidR="00186838">
        <w:t>utive year of drought</w:t>
      </w:r>
      <w:r>
        <w:t>.</w:t>
      </w:r>
      <w:r w:rsidR="00186838">
        <w:t xml:space="preserve"> According to the National Drought Mitig</w:t>
      </w:r>
      <w:r w:rsidR="00CF4585">
        <w:t>ation Center, as of January</w:t>
      </w:r>
      <w:r w:rsidR="00186838">
        <w:t xml:space="preserve"> 2015, 100% of the state is </w:t>
      </w:r>
      <w:r w:rsidR="003F2112">
        <w:t>experiencing drought</w:t>
      </w:r>
      <w:r w:rsidR="00186838">
        <w:t xml:space="preserve">, </w:t>
      </w:r>
      <w:r w:rsidR="00D70D8D">
        <w:t xml:space="preserve">with roughly 75% </w:t>
      </w:r>
      <w:r w:rsidR="00186838">
        <w:t>experiencing extre</w:t>
      </w:r>
      <w:r w:rsidR="00D70D8D">
        <w:t>m</w:t>
      </w:r>
      <w:r w:rsidR="00BA3A87">
        <w:t xml:space="preserve">e drought, the </w:t>
      </w:r>
      <w:r w:rsidR="00186838">
        <w:t>most</w:t>
      </w:r>
      <w:r w:rsidR="00BA3A87">
        <w:t xml:space="preserve"> severe drought classification</w:t>
      </w:r>
      <w:r w:rsidR="00186838">
        <w:t xml:space="preserve">. </w:t>
      </w:r>
      <w:r w:rsidR="00915EDF">
        <w:t>The situation</w:t>
      </w:r>
      <w:r w:rsidR="00411F84">
        <w:t xml:space="preserve"> </w:t>
      </w:r>
      <w:r w:rsidR="00915EDF">
        <w:t>has</w:t>
      </w:r>
      <w:r w:rsidR="00BA3A87">
        <w:t xml:space="preserve"> only worsened since the</w:t>
      </w:r>
      <w:r w:rsidR="00411F84">
        <w:t xml:space="preserve"> time of </w:t>
      </w:r>
      <w:r w:rsidR="005657BC">
        <w:t>Governor</w:t>
      </w:r>
      <w:r w:rsidR="00186838">
        <w:t xml:space="preserve"> Brown’s proclamation</w:t>
      </w:r>
      <w:r w:rsidR="0017765B">
        <w:t>.</w:t>
      </w:r>
      <w:r w:rsidR="0017765B">
        <w:rPr>
          <w:rStyle w:val="EndnoteReference"/>
        </w:rPr>
        <w:endnoteReference w:id="5"/>
      </w:r>
      <w:r w:rsidR="005B6F5C">
        <w:t xml:space="preserve"> </w:t>
      </w:r>
      <w:r w:rsidR="00F126E8">
        <w:t xml:space="preserve">As a result, Governor Brown recently strengthened his call from voluntary cutbacks to mandatory reductions. In March of 2015 the governor announced a mandatory 25% reduction for all urban water users. </w:t>
      </w:r>
      <w:r w:rsidR="005B6F5C">
        <w:t xml:space="preserve">As of this writing, it seems likely that Southern California will </w:t>
      </w:r>
      <w:r w:rsidR="0042152F">
        <w:t xml:space="preserve">officially </w:t>
      </w:r>
      <w:r w:rsidR="005B6F5C">
        <w:t>enter into a regional water shortage in 2015, w</w:t>
      </w:r>
      <w:r w:rsidR="003B0C30">
        <w:t>hich will put hard limits on the amount of water agencies will have access to</w:t>
      </w:r>
      <w:r w:rsidR="005B6F5C">
        <w:t>.</w:t>
      </w:r>
      <w:r w:rsidR="003B0C30">
        <w:t xml:space="preserve"> The last regional shortage occurred in 2009.</w:t>
      </w:r>
    </w:p>
    <w:p w14:paraId="09FAACC2" w14:textId="6070FC23" w:rsidR="00BA3A87" w:rsidRDefault="005B7896" w:rsidP="00D14769">
      <w:r>
        <w:t xml:space="preserve">California droughts are </w:t>
      </w:r>
      <w:r w:rsidR="005B6F5C">
        <w:t>predicted</w:t>
      </w:r>
      <w:r>
        <w:t xml:space="preserve"> to become more severe, </w:t>
      </w:r>
      <w:proofErr w:type="gramStart"/>
      <w:r>
        <w:t>longer-lasting</w:t>
      </w:r>
      <w:proofErr w:type="gramEnd"/>
      <w:r>
        <w:t>, and more frequent as a result of climate change.</w:t>
      </w:r>
      <w:r w:rsidR="002C2D2B">
        <w:rPr>
          <w:rStyle w:val="EndnoteReference"/>
        </w:rPr>
        <w:endnoteReference w:id="6"/>
      </w:r>
      <w:r>
        <w:t xml:space="preserve"> </w:t>
      </w:r>
      <w:r w:rsidR="009315EB">
        <w:t>I</w:t>
      </w:r>
      <w:r w:rsidR="00001F25">
        <w:t>f these pre</w:t>
      </w:r>
      <w:r w:rsidR="009315EB">
        <w:t xml:space="preserve">dictions </w:t>
      </w:r>
      <w:r w:rsidR="00001F25">
        <w:t xml:space="preserve">come </w:t>
      </w:r>
      <w:r w:rsidR="009315EB">
        <w:t>true, we will need to be</w:t>
      </w:r>
      <w:r w:rsidR="00BA3A87">
        <w:t xml:space="preserve"> more flexible with how we use water, and more resilient</w:t>
      </w:r>
      <w:r w:rsidR="009315EB">
        <w:t xml:space="preserve"> to these changes </w:t>
      </w:r>
      <w:r w:rsidR="00BA3A87">
        <w:t xml:space="preserve">to limit the impact drought has on us over time. We will need to be creative and </w:t>
      </w:r>
      <w:r w:rsidR="002D7855">
        <w:t>thoughtful</w:t>
      </w:r>
      <w:r w:rsidR="00BA3A87">
        <w:t xml:space="preserve"> in h</w:t>
      </w:r>
      <w:r w:rsidR="0042152F">
        <w:t xml:space="preserve">ow we distribute water and in the ways </w:t>
      </w:r>
      <w:r w:rsidR="00BA3A87">
        <w:t>we recognize and account for where and when conservation gains can be met.</w:t>
      </w:r>
    </w:p>
    <w:p w14:paraId="785BCD9E" w14:textId="1F9B0148" w:rsidR="003D4A87" w:rsidRDefault="003D4A87" w:rsidP="00D14769">
      <w:r>
        <w:lastRenderedPageBreak/>
        <w:t>In the sections that follow, we will give an overview of the complex system of water distribution in Southern California</w:t>
      </w:r>
      <w:r w:rsidR="005B6F5C">
        <w:t xml:space="preserve"> and the role of the Metropolitan Water D</w:t>
      </w:r>
      <w:r w:rsidR="00BA3A87">
        <w:t>istrict, as primary</w:t>
      </w:r>
      <w:r w:rsidR="005B6F5C">
        <w:t xml:space="preserve"> provide</w:t>
      </w:r>
      <w:r w:rsidR="00BA3A87">
        <w:t>r</w:t>
      </w:r>
      <w:r w:rsidR="005B6F5C">
        <w:t xml:space="preserve"> </w:t>
      </w:r>
      <w:r w:rsidR="00BA3A87">
        <w:t xml:space="preserve">of water for the </w:t>
      </w:r>
      <w:r w:rsidR="005B6F5C">
        <w:t>region. We will then focus on the ways in which the District allocates water to utilities during regional shortages and examine whether this syst</w:t>
      </w:r>
      <w:r w:rsidR="00BA3A87">
        <w:t xml:space="preserve">em may have played a role in how utilities’ </w:t>
      </w:r>
      <w:r w:rsidR="005B6F5C">
        <w:t>respo</w:t>
      </w:r>
      <w:r w:rsidR="00BA3A87">
        <w:t xml:space="preserve">nd to </w:t>
      </w:r>
      <w:r w:rsidR="005B6F5C">
        <w:t>drought.</w:t>
      </w:r>
    </w:p>
    <w:p w14:paraId="5D9552A7" w14:textId="14385E39" w:rsidR="00032799" w:rsidRDefault="00F06F98" w:rsidP="006B5F9E">
      <w:pPr>
        <w:keepNext/>
        <w:jc w:val="center"/>
      </w:pPr>
      <w:r>
        <w:rPr>
          <w:noProof/>
        </w:rPr>
        <w:drawing>
          <wp:inline distT="0" distB="0" distL="0" distR="0" wp14:anchorId="51836874" wp14:editId="0917F61B">
            <wp:extent cx="5257800" cy="354711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490C6AE" w14:textId="65102DFE" w:rsidR="00032799" w:rsidRDefault="00032799" w:rsidP="00D30E5E">
      <w:pPr>
        <w:pStyle w:val="Caption"/>
      </w:pPr>
      <w:bookmarkStart w:id="15" w:name="_Ref411856205"/>
      <w:bookmarkStart w:id="16" w:name="_Toc416362752"/>
      <w:r>
        <w:t xml:space="preserve">Figure </w:t>
      </w:r>
      <w:r w:rsidR="00DF236E">
        <w:fldChar w:fldCharType="begin"/>
      </w:r>
      <w:r w:rsidR="00DF236E">
        <w:instrText xml:space="preserve"> STYLEREF 1 \s </w:instrText>
      </w:r>
      <w:r w:rsidR="00DF236E">
        <w:fldChar w:fldCharType="separate"/>
      </w:r>
      <w:r w:rsidR="00DC1192">
        <w:rPr>
          <w:noProof/>
        </w:rPr>
        <w:t>2</w:t>
      </w:r>
      <w:r w:rsidR="00DF236E">
        <w:rPr>
          <w:noProof/>
        </w:rPr>
        <w:fldChar w:fldCharType="end"/>
      </w:r>
      <w:r w:rsidR="00DC1192">
        <w:noBreakHyphen/>
      </w:r>
      <w:r w:rsidR="00DF236E">
        <w:fldChar w:fldCharType="begin"/>
      </w:r>
      <w:r w:rsidR="00DF236E">
        <w:instrText xml:space="preserve"> SEQ Figure \* ARABIC \s 1 </w:instrText>
      </w:r>
      <w:r w:rsidR="00DF236E">
        <w:fldChar w:fldCharType="separate"/>
      </w:r>
      <w:r w:rsidR="00DC1192">
        <w:rPr>
          <w:noProof/>
        </w:rPr>
        <w:t>1</w:t>
      </w:r>
      <w:r w:rsidR="00DF236E">
        <w:rPr>
          <w:noProof/>
        </w:rPr>
        <w:fldChar w:fldCharType="end"/>
      </w:r>
      <w:bookmarkEnd w:id="15"/>
      <w:r>
        <w:t xml:space="preserve">. Southern California water agencies did not achieve the Governor’s 20% reduction goal until December 2014, </w:t>
      </w:r>
      <w:r w:rsidRPr="00D30E5E">
        <w:t>nearly</w:t>
      </w:r>
      <w:r>
        <w:t xml:space="preserve"> a year later. Data from the State Water Resources Control Board’s Conservation Reporting website</w:t>
      </w:r>
      <w:r w:rsidR="0086324B">
        <w:t xml:space="preserve"> (only agencies in the South Coast region are shown here)</w:t>
      </w:r>
      <w:r>
        <w:t>.</w:t>
      </w:r>
      <w:bookmarkEnd w:id="16"/>
    </w:p>
    <w:p w14:paraId="55288A44" w14:textId="46851FA3" w:rsidR="00061C63" w:rsidRPr="00D53A5F" w:rsidRDefault="00004D00" w:rsidP="002832B1">
      <w:pPr>
        <w:pStyle w:val="Heading2"/>
      </w:pPr>
      <w:bookmarkStart w:id="17" w:name="_Toc411777900"/>
      <w:bookmarkStart w:id="18" w:name="_Toc411777902"/>
      <w:bookmarkStart w:id="19" w:name="_Toc416611295"/>
      <w:bookmarkEnd w:id="17"/>
      <w:bookmarkEnd w:id="18"/>
      <w:r>
        <w:t xml:space="preserve">The </w:t>
      </w:r>
      <w:r w:rsidR="00061C63" w:rsidRPr="00D53A5F">
        <w:t>Metropolitan Water District of Southern California</w:t>
      </w:r>
      <w:bookmarkEnd w:id="19"/>
    </w:p>
    <w:p w14:paraId="170503DC" w14:textId="2D557A87" w:rsidR="00156574" w:rsidRDefault="00462130" w:rsidP="002832B1">
      <w:r>
        <w:t>The Metropolitan Water Dist</w:t>
      </w:r>
      <w:r w:rsidR="00704104">
        <w:t>rict of Southern California (Met</w:t>
      </w:r>
      <w:r>
        <w:t>)</w:t>
      </w:r>
      <w:r w:rsidR="00923078">
        <w:t xml:space="preserve"> is the largest wholesale </w:t>
      </w:r>
      <w:r>
        <w:t>distributor of</w:t>
      </w:r>
      <w:r w:rsidR="00704104">
        <w:t xml:space="preserve"> water in the United States. Met</w:t>
      </w:r>
      <w:r>
        <w:t xml:space="preserve"> provides water </w:t>
      </w:r>
      <w:r w:rsidR="001A68B8">
        <w:t xml:space="preserve">from the Colorado River and the California State Water Project </w:t>
      </w:r>
      <w:r>
        <w:t xml:space="preserve">to approximately 19 million people </w:t>
      </w:r>
      <w:r w:rsidR="0055664D">
        <w:t xml:space="preserve">via 26 </w:t>
      </w:r>
      <w:r w:rsidR="0055664D" w:rsidRPr="00B311F6">
        <w:t>member agencies</w:t>
      </w:r>
      <w:r w:rsidR="0055664D">
        <w:t xml:space="preserve"> </w:t>
      </w:r>
      <w:r w:rsidR="007D64E5">
        <w:t>within</w:t>
      </w:r>
      <w:r>
        <w:t xml:space="preserve"> </w:t>
      </w:r>
      <w:r w:rsidR="00923078">
        <w:t>six Southern California counties</w:t>
      </w:r>
      <w:r w:rsidR="006F4B51">
        <w:t xml:space="preserve">. </w:t>
      </w:r>
      <w:r w:rsidR="00915EDF">
        <w:t>These member agencies are represented by</w:t>
      </w:r>
      <w:r w:rsidR="00B44BC1">
        <w:t xml:space="preserve"> individual city water utilities and local water districts who themselves then distribute water to their customers, with agencies having various dependencies on Met to meet their needs</w:t>
      </w:r>
      <w:r w:rsidR="00923078">
        <w:t xml:space="preserve">. </w:t>
      </w:r>
      <w:r w:rsidR="007D64E5">
        <w:t xml:space="preserve">Met provides roughly 2 </w:t>
      </w:r>
      <w:r w:rsidR="007D64E5">
        <w:lastRenderedPageBreak/>
        <w:t>milli</w:t>
      </w:r>
      <w:r w:rsidR="00923078">
        <w:t>on AF per year to its members</w:t>
      </w:r>
      <w:r w:rsidR="00797100">
        <w:t>, supplying water from both the Colorado River Aqueduct and the State Water Project.</w:t>
      </w:r>
    </w:p>
    <w:p w14:paraId="4CC8E290" w14:textId="45F19AAC" w:rsidR="00156574" w:rsidRDefault="00704104" w:rsidP="002832B1">
      <w:r>
        <w:t>Met</w:t>
      </w:r>
      <w:r w:rsidR="00156574">
        <w:t xml:space="preserve">’s mission </w:t>
      </w:r>
      <w:r w:rsidR="00156574" w:rsidRPr="00156574">
        <w:t xml:space="preserve">is </w:t>
      </w:r>
      <w:r w:rsidR="00156574">
        <w:t>“t</w:t>
      </w:r>
      <w:r w:rsidR="00156574" w:rsidRPr="00156574">
        <w:t>o provide Metropolitan’s service area with adequate and reliable supplies of high-quality water to meet present and future needs in an environmentally and economically responsible way</w:t>
      </w:r>
      <w:r w:rsidR="00EE3941">
        <w:t>.” The District was formed by the California state legislature in</w:t>
      </w:r>
      <w:r w:rsidR="00156574">
        <w:t xml:space="preserve"> 1927</w:t>
      </w:r>
      <w:r w:rsidR="00EE3941">
        <w:t>.</w:t>
      </w:r>
      <w:r w:rsidR="007920D9">
        <w:t xml:space="preserve"> As </w:t>
      </w:r>
      <w:r w:rsidR="006B5F9E">
        <w:t xml:space="preserve">the </w:t>
      </w:r>
      <w:r w:rsidR="007920D9">
        <w:t xml:space="preserve">population and water demand in </w:t>
      </w:r>
      <w:r w:rsidR="006B5F9E">
        <w:t>S</w:t>
      </w:r>
      <w:r w:rsidR="007920D9">
        <w:t>o</w:t>
      </w:r>
      <w:r>
        <w:t>uthern California has grown, Met</w:t>
      </w:r>
      <w:r w:rsidR="007920D9">
        <w:t xml:space="preserve">’s function as water supplier has also expanded to serve as a </w:t>
      </w:r>
      <w:r w:rsidR="00797100">
        <w:t>steward</w:t>
      </w:r>
      <w:r w:rsidR="006B5F9E">
        <w:t xml:space="preserve"> of regional water resources, managing</w:t>
      </w:r>
      <w:r w:rsidR="007920D9">
        <w:t xml:space="preserve"> water conservation, groundwater conjunctive use, desalination, and wat</w:t>
      </w:r>
      <w:r>
        <w:t>er recycling projects</w:t>
      </w:r>
      <w:r w:rsidR="007920D9">
        <w:t>.</w:t>
      </w:r>
      <w:r>
        <w:rPr>
          <w:rStyle w:val="EndnoteReference"/>
        </w:rPr>
        <w:endnoteReference w:id="7"/>
      </w:r>
      <w:r w:rsidR="00797100">
        <w:t xml:space="preserve"> </w:t>
      </w:r>
    </w:p>
    <w:p w14:paraId="4A1C1077" w14:textId="32DC3C61" w:rsidR="00DF3284" w:rsidRDefault="00DF3284" w:rsidP="002832B1">
      <w:r>
        <w:t>During Met’s first three decades</w:t>
      </w:r>
      <w:r w:rsidR="00797100">
        <w:t xml:space="preserve">, </w:t>
      </w:r>
      <w:r>
        <w:t>Southern California enjoyed an era of abundance in which there was always ample water to meet demand. Starting with the droughts of the late 1970’s, however, demand began to exceed supply during especially dry years.</w:t>
      </w:r>
      <w:r w:rsidR="00F630C1">
        <w:t xml:space="preserve"> In recent years Met has invested in a range of </w:t>
      </w:r>
      <w:r w:rsidR="00B44BC1">
        <w:t>programs</w:t>
      </w:r>
      <w:r w:rsidR="002F7E62">
        <w:t xml:space="preserve"> to enable it to cope w</w:t>
      </w:r>
      <w:r w:rsidR="00B44BC1">
        <w:t>i</w:t>
      </w:r>
      <w:r w:rsidR="002F7E62">
        <w:t>t</w:t>
      </w:r>
      <w:r w:rsidR="00B44BC1">
        <w:t>h</w:t>
      </w:r>
      <w:r w:rsidR="00F630C1">
        <w:t xml:space="preserve"> droughts without having to ration water (known as ‘going into allocation’).</w:t>
      </w:r>
      <w:r w:rsidR="00392BDC">
        <w:rPr>
          <w:rStyle w:val="EndnoteReference"/>
        </w:rPr>
        <w:endnoteReference w:id="8"/>
      </w:r>
      <w:r w:rsidR="00F630C1">
        <w:t xml:space="preserve"> These programs include surface storage like the new Diamond Valley Reservoir, groundwater banks, conjunctive use programs, conservation incentives, and options contracts with agricultural districts. Despite these efforts, allocations still occur.</w:t>
      </w:r>
    </w:p>
    <w:p w14:paraId="2E75B06D" w14:textId="511785E1" w:rsidR="00D53967" w:rsidRDefault="00D53967" w:rsidP="002832B1">
      <w:r>
        <w:t xml:space="preserve">How should Met allocate </w:t>
      </w:r>
      <w:r w:rsidRPr="003E1DA2">
        <w:t xml:space="preserve">water between agencies during </w:t>
      </w:r>
      <w:r w:rsidR="00DF3284">
        <w:t xml:space="preserve">these </w:t>
      </w:r>
      <w:r w:rsidRPr="003E1DA2">
        <w:t>shortage years</w:t>
      </w:r>
      <w:r>
        <w:t xml:space="preserve">, when supply cannot meet demand? </w:t>
      </w:r>
      <w:r w:rsidR="00B44BC1">
        <w:t>The District has adopted</w:t>
      </w:r>
      <w:r w:rsidR="00E76596">
        <w:t xml:space="preserve"> several syst</w:t>
      </w:r>
      <w:r w:rsidR="00B44BC1">
        <w:t>ems over its history. Originally, the MWD Act described a method</w:t>
      </w:r>
      <w:r w:rsidR="00E76596">
        <w:t xml:space="preserve">, known as preferential rights, </w:t>
      </w:r>
      <w:r w:rsidR="00B44BC1">
        <w:t xml:space="preserve">that </w:t>
      </w:r>
      <w:r w:rsidR="00E76596">
        <w:t xml:space="preserve">gives agencies </w:t>
      </w:r>
      <w:r w:rsidR="00744EDF">
        <w:t xml:space="preserve">use </w:t>
      </w:r>
      <w:r w:rsidR="00E76596">
        <w:t>rights to a share of Met’s supply in accordance with how much they have paid into the Met system over their history. This system still has the force of law but has never been put into action. Prior to 1999</w:t>
      </w:r>
      <w:r w:rsidR="00797100">
        <w:t>, Met</w:t>
      </w:r>
      <w:r w:rsidR="00392BDC">
        <w:t xml:space="preserve"> used an alternative</w:t>
      </w:r>
      <w:r w:rsidR="00797100">
        <w:t xml:space="preserve"> system of uniform rationing, where all </w:t>
      </w:r>
      <w:r w:rsidR="00DF3284">
        <w:t xml:space="preserve">agencies were forced to cut back their usage by the same percentage. </w:t>
      </w:r>
      <w:r w:rsidR="00E76596">
        <w:t>During the</w:t>
      </w:r>
      <w:r w:rsidR="00392BDC">
        <w:t xml:space="preserve"> drought and resulting shortages of 2009-</w:t>
      </w:r>
      <w:r w:rsidR="00A76C70">
        <w:t>20</w:t>
      </w:r>
      <w:r w:rsidR="00392BDC">
        <w:t>11, Met implemented</w:t>
      </w:r>
      <w:r w:rsidR="00E76596">
        <w:t xml:space="preserve"> a new system called the Shortage Allocation Plan, </w:t>
      </w:r>
      <w:r w:rsidR="00F630C1">
        <w:t xml:space="preserve">which was intended to </w:t>
      </w:r>
      <w:r w:rsidR="00392BDC">
        <w:t>function</w:t>
      </w:r>
      <w:r w:rsidR="00F630C1">
        <w:t xml:space="preserve"> more</w:t>
      </w:r>
      <w:r w:rsidR="00392BDC">
        <w:t xml:space="preserve"> equitably</w:t>
      </w:r>
      <w:r w:rsidR="00F630C1">
        <w:t xml:space="preserve"> by distributing water based on each agency’s unique dependence on Met – their </w:t>
      </w:r>
      <w:r w:rsidR="00F630C1" w:rsidRPr="00F630C1">
        <w:rPr>
          <w:i/>
        </w:rPr>
        <w:t>need</w:t>
      </w:r>
      <w:r w:rsidR="00392BDC">
        <w:t>. This plan may be deployed again, in revised form, during 2015-16.</w:t>
      </w:r>
      <w:r w:rsidR="00392BDC">
        <w:rPr>
          <w:rStyle w:val="EndnoteReference"/>
        </w:rPr>
        <w:endnoteReference w:id="9"/>
      </w:r>
    </w:p>
    <w:p w14:paraId="7A9D14DE" w14:textId="77777777" w:rsidR="003D5DE6" w:rsidRDefault="003D5DE6" w:rsidP="003D5DE6">
      <w:pPr>
        <w:keepNext/>
        <w:jc w:val="center"/>
      </w:pPr>
      <w:r>
        <w:rPr>
          <w:noProof/>
        </w:rPr>
        <w:lastRenderedPageBreak/>
        <w:drawing>
          <wp:inline distT="0" distB="0" distL="0" distR="0" wp14:anchorId="02694228" wp14:editId="1B1BA1D2">
            <wp:extent cx="5230708" cy="4610100"/>
            <wp:effectExtent l="0" t="0" r="8255" b="0"/>
            <wp:docPr id="12" name="Picture 12" descr="C:\Users\Lauren\Documents\My Dropbox\Bren\0 - Group Project - Long Beach\3. Images\MWD service area map hi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en\Documents\My Dropbox\Bren\0 - Group Project - Long Beach\3. Images\MWD service area map hi res.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5509" t="20317" r="9978"/>
                    <a:stretch/>
                  </pic:blipFill>
                  <pic:spPr bwMode="auto">
                    <a:xfrm>
                      <a:off x="0" y="0"/>
                      <a:ext cx="5257091" cy="4633353"/>
                    </a:xfrm>
                    <a:prstGeom prst="rect">
                      <a:avLst/>
                    </a:prstGeom>
                    <a:noFill/>
                    <a:ln>
                      <a:noFill/>
                    </a:ln>
                    <a:extLst>
                      <a:ext uri="{53640926-AAD7-44d8-BBD7-CCE9431645EC}">
                        <a14:shadowObscured xmlns:a14="http://schemas.microsoft.com/office/drawing/2010/main"/>
                      </a:ext>
                    </a:extLst>
                  </pic:spPr>
                </pic:pic>
              </a:graphicData>
            </a:graphic>
          </wp:inline>
        </w:drawing>
      </w:r>
    </w:p>
    <w:p w14:paraId="77368A6C" w14:textId="5A862B33" w:rsidR="003D5DE6" w:rsidRDefault="003D5DE6" w:rsidP="003D5DE6">
      <w:pPr>
        <w:pStyle w:val="Caption"/>
        <w:jc w:val="left"/>
      </w:pPr>
      <w:bookmarkStart w:id="20" w:name="_Toc416362753"/>
      <w:r>
        <w:t xml:space="preserve">Figure </w:t>
      </w:r>
      <w:r w:rsidR="00DF236E">
        <w:fldChar w:fldCharType="begin"/>
      </w:r>
      <w:r w:rsidR="00DF236E">
        <w:instrText xml:space="preserve"> STYLEREF 1 \s </w:instrText>
      </w:r>
      <w:r w:rsidR="00DF236E">
        <w:fldChar w:fldCharType="separate"/>
      </w:r>
      <w:r w:rsidR="00DC1192">
        <w:rPr>
          <w:noProof/>
        </w:rPr>
        <w:t>2</w:t>
      </w:r>
      <w:r w:rsidR="00DF236E">
        <w:rPr>
          <w:noProof/>
        </w:rPr>
        <w:fldChar w:fldCharType="end"/>
      </w:r>
      <w:r w:rsidR="00DC1192">
        <w:noBreakHyphen/>
      </w:r>
      <w:r w:rsidR="00DF236E">
        <w:fldChar w:fldCharType="begin"/>
      </w:r>
      <w:r w:rsidR="00DF236E">
        <w:instrText xml:space="preserve"> SEQ Figure \* ARABIC \s 1 </w:instrText>
      </w:r>
      <w:r w:rsidR="00DF236E">
        <w:fldChar w:fldCharType="separate"/>
      </w:r>
      <w:r w:rsidR="00DC1192">
        <w:rPr>
          <w:noProof/>
        </w:rPr>
        <w:t>2</w:t>
      </w:r>
      <w:r w:rsidR="00DF236E">
        <w:rPr>
          <w:noProof/>
        </w:rPr>
        <w:fldChar w:fldCharType="end"/>
      </w:r>
      <w:r>
        <w:t>. The Metropolitan Water District provides water to 26 member agencies within the Los Angeles—San Diego—Inland Empire metropolitan region. Map courtesy of MWD.</w:t>
      </w:r>
      <w:bookmarkEnd w:id="20"/>
    </w:p>
    <w:p w14:paraId="22449621" w14:textId="77777777" w:rsidR="00004D00" w:rsidRPr="00D53A5F" w:rsidRDefault="00004D00" w:rsidP="00004D00">
      <w:pPr>
        <w:pStyle w:val="Heading3"/>
      </w:pPr>
      <w:r w:rsidRPr="00D53A5F">
        <w:t>Preferential Rights</w:t>
      </w:r>
    </w:p>
    <w:p w14:paraId="14D9BB2F" w14:textId="45E0B245" w:rsidR="00D53967" w:rsidRDefault="00D53967" w:rsidP="00D53967">
      <w:r>
        <w:t>From the 1930s until the 1970s, there was always sufficient water to meet Southern California’s needs, and the member agencies never had to seriously contend with</w:t>
      </w:r>
      <w:r w:rsidR="00CB5F65">
        <w:t xml:space="preserve"> a shortage</w:t>
      </w:r>
      <w:r>
        <w:t>. T</w:t>
      </w:r>
      <w:r w:rsidR="00915EDF">
        <w:t>he initial</w:t>
      </w:r>
      <w:r w:rsidRPr="003E1DA2">
        <w:t xml:space="preserve"> </w:t>
      </w:r>
      <w:r>
        <w:t>system of allocation, known as</w:t>
      </w:r>
      <w:r w:rsidRPr="003E1DA2">
        <w:t xml:space="preserve"> </w:t>
      </w:r>
      <w:r w:rsidRPr="00B311F6">
        <w:t>preferential rights</w:t>
      </w:r>
      <w:r w:rsidR="00915EDF">
        <w:t xml:space="preserve">, </w:t>
      </w:r>
      <w:r>
        <w:t>was established during the early days of Met</w:t>
      </w:r>
      <w:r w:rsidR="00915EDF">
        <w:rPr>
          <w:rStyle w:val="EndnoteReference"/>
        </w:rPr>
        <w:endnoteReference w:id="10"/>
      </w:r>
      <w:r>
        <w:t xml:space="preserve">, when </w:t>
      </w:r>
      <w:r w:rsidR="00B050B3">
        <w:t>the</w:t>
      </w:r>
      <w:r>
        <w:t xml:space="preserve"> primary concern was ensuring that </w:t>
      </w:r>
      <w:r w:rsidR="00B050B3">
        <w:t xml:space="preserve">the 11 founding </w:t>
      </w:r>
      <w:r>
        <w:t>Met cities obtained a retur</w:t>
      </w:r>
      <w:r w:rsidR="00CB5F65">
        <w:t>n on their investment in the Colorado River Aqueduct</w:t>
      </w:r>
      <w:r>
        <w:t>.</w:t>
      </w:r>
    </w:p>
    <w:p w14:paraId="3E3DCE71" w14:textId="0E77F610" w:rsidR="00CB5F65" w:rsidRDefault="00D53967" w:rsidP="00CB5F65">
      <w:r>
        <w:t>Under preferential rights,</w:t>
      </w:r>
      <w:r w:rsidR="00CB5F65">
        <w:t xml:space="preserve"> membership in Met grants </w:t>
      </w:r>
      <w:r w:rsidR="00744EDF">
        <w:t xml:space="preserve">use </w:t>
      </w:r>
      <w:r w:rsidR="00CB5F65">
        <w:t xml:space="preserve">rights to purchase </w:t>
      </w:r>
      <w:r w:rsidR="00DC7F5F">
        <w:t>a share of the total available water supply</w:t>
      </w:r>
      <w:r w:rsidR="001552AF">
        <w:t>.</w:t>
      </w:r>
      <w:r w:rsidR="00CB5F65">
        <w:t xml:space="preserve"> The amount of water each agency is entitled to purchase annually is based on the ratio of the agency’s historical contributions to </w:t>
      </w:r>
      <w:r w:rsidR="00CB5F65">
        <w:lastRenderedPageBreak/>
        <w:t xml:space="preserve">Met to the total contributions of all member agencies. Historical contributions include property tax revenues and service fees, but exclude payments for the purchase of water itself. In general, agencies serving larger and wealthier regions contribute more property tax revenue and therefore receive a larger entitlement. </w:t>
      </w:r>
      <w:r w:rsidR="00D35C3A">
        <w:t xml:space="preserve">Because </w:t>
      </w:r>
      <w:r w:rsidR="00D35C3A" w:rsidRPr="003E1DA2">
        <w:t xml:space="preserve">property tax revenues are much larger than revenues from the </w:t>
      </w:r>
      <w:r w:rsidR="00D35C3A">
        <w:t>other components of preferential rights</w:t>
      </w:r>
      <w:r w:rsidR="00D35C3A" w:rsidRPr="003E1DA2">
        <w:t xml:space="preserve">, urban agencies with large </w:t>
      </w:r>
      <w:r w:rsidR="00D35C3A">
        <w:t xml:space="preserve">property tax bases receive more preferential </w:t>
      </w:r>
      <w:r w:rsidR="00D35C3A" w:rsidRPr="003E1DA2">
        <w:t xml:space="preserve">rights than smaller or suburban agencies. </w:t>
      </w:r>
      <w:r w:rsidR="00CB5F65">
        <w:t xml:space="preserve">Over time, as the cost of Met infrastructure has been recouped, Met’s capital and operating costs have become more dependent on revenue from water sales than property taxes. </w:t>
      </w:r>
    </w:p>
    <w:p w14:paraId="7FEEA6CE" w14:textId="492779C2" w:rsidR="00D53967" w:rsidRDefault="00D53967" w:rsidP="00D53967">
      <w:r w:rsidRPr="003E1DA2">
        <w:t>Although preferential rights have never been invoked, they are important because</w:t>
      </w:r>
      <w:r>
        <w:t xml:space="preserve"> they serve as a legal backstop for other allocation methods. The fear that a</w:t>
      </w:r>
      <w:r w:rsidR="002D0FAA">
        <w:t xml:space="preserve">n </w:t>
      </w:r>
      <w:r>
        <w:t>agency may invoke its pref</w:t>
      </w:r>
      <w:r w:rsidR="002D0FAA">
        <w:t>erential rights</w:t>
      </w:r>
      <w:r>
        <w:t xml:space="preserve">, </w:t>
      </w:r>
      <w:r w:rsidR="002D0FAA">
        <w:t xml:space="preserve">and thereby dramatically alter how much water each agency </w:t>
      </w:r>
      <w:r w:rsidR="00540FC5">
        <w:t>receives</w:t>
      </w:r>
      <w:r w:rsidR="00915EDF">
        <w:t>,</w:t>
      </w:r>
      <w:r w:rsidR="002D0FAA">
        <w:t xml:space="preserve"> </w:t>
      </w:r>
      <w:r>
        <w:t xml:space="preserve">serves as </w:t>
      </w:r>
      <w:r w:rsidR="00915EDF">
        <w:t>a real concern</w:t>
      </w:r>
      <w:r>
        <w:t xml:space="preserve"> in Southern California water politics.</w:t>
      </w:r>
    </w:p>
    <w:p w14:paraId="0CCDB1CF" w14:textId="138DEA9D" w:rsidR="0061383D" w:rsidRDefault="0091791E" w:rsidP="002832B1">
      <w:r>
        <w:rPr>
          <w:noProof/>
        </w:rPr>
        <w:drawing>
          <wp:inline distT="0" distB="0" distL="0" distR="0" wp14:anchorId="466E335F" wp14:editId="1B1CD874">
            <wp:extent cx="5257800" cy="381635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26107FD" w14:textId="5105BD36" w:rsidR="00C07540" w:rsidRPr="00666148" w:rsidRDefault="00666148" w:rsidP="003D5DE6">
      <w:pPr>
        <w:pStyle w:val="Caption"/>
      </w:pPr>
      <w:bookmarkStart w:id="21" w:name="_Ref411878664"/>
      <w:bookmarkStart w:id="22" w:name="_Toc416362754"/>
      <w:r w:rsidRPr="00666148">
        <w:t xml:space="preserve">Figure </w:t>
      </w:r>
      <w:r w:rsidR="00DF236E">
        <w:fldChar w:fldCharType="begin"/>
      </w:r>
      <w:r w:rsidR="00DF236E">
        <w:instrText xml:space="preserve"> STYLEREF 1 \s </w:instrText>
      </w:r>
      <w:r w:rsidR="00DF236E">
        <w:fldChar w:fldCharType="separate"/>
      </w:r>
      <w:r w:rsidR="00DC1192">
        <w:rPr>
          <w:noProof/>
        </w:rPr>
        <w:t>2</w:t>
      </w:r>
      <w:r w:rsidR="00DF236E">
        <w:rPr>
          <w:noProof/>
        </w:rPr>
        <w:fldChar w:fldCharType="end"/>
      </w:r>
      <w:r w:rsidR="00DC1192">
        <w:noBreakHyphen/>
      </w:r>
      <w:r w:rsidR="00DF236E">
        <w:fldChar w:fldCharType="begin"/>
      </w:r>
      <w:r w:rsidR="00DF236E">
        <w:instrText xml:space="preserve"> SEQ Figure \* ARABIC \s 1 </w:instrText>
      </w:r>
      <w:r w:rsidR="00DF236E">
        <w:fldChar w:fldCharType="separate"/>
      </w:r>
      <w:r w:rsidR="00DC1192">
        <w:rPr>
          <w:noProof/>
        </w:rPr>
        <w:t>3</w:t>
      </w:r>
      <w:r w:rsidR="00DF236E">
        <w:rPr>
          <w:noProof/>
        </w:rPr>
        <w:fldChar w:fldCharType="end"/>
      </w:r>
      <w:bookmarkEnd w:id="21"/>
      <w:r w:rsidRPr="00666148">
        <w:t xml:space="preserve">. </w:t>
      </w:r>
      <w:proofErr w:type="gramStart"/>
      <w:r w:rsidRPr="00666148">
        <w:t xml:space="preserve">Preferential rights over the last decade for all 26 Met member agencies (for clarity, only the top five </w:t>
      </w:r>
      <w:r w:rsidRPr="003D5DE6">
        <w:t>agencies</w:t>
      </w:r>
      <w:r w:rsidRPr="00666148">
        <w:t xml:space="preserve"> are </w:t>
      </w:r>
      <w:proofErr w:type="spellStart"/>
      <w:r w:rsidRPr="00666148">
        <w:t>labelled</w:t>
      </w:r>
      <w:proofErr w:type="spellEnd"/>
      <w:r w:rsidRPr="00666148">
        <w:t>)</w:t>
      </w:r>
      <w:r>
        <w:t>.</w:t>
      </w:r>
      <w:proofErr w:type="gramEnd"/>
      <w:r>
        <w:t xml:space="preserve"> The </w:t>
      </w:r>
      <w:r w:rsidRPr="00666148">
        <w:t xml:space="preserve">five </w:t>
      </w:r>
      <w:r>
        <w:t xml:space="preserve">largest </w:t>
      </w:r>
      <w:r w:rsidRPr="00666148">
        <w:t xml:space="preserve">agencies together hold </w:t>
      </w:r>
      <w:r w:rsidR="0027242B">
        <w:t xml:space="preserve">use </w:t>
      </w:r>
      <w:r w:rsidRPr="00666148">
        <w:t>rights to 67% of the an</w:t>
      </w:r>
      <w:r w:rsidR="006C3902">
        <w:t>nual supply</w:t>
      </w:r>
      <w:r w:rsidRPr="00666148">
        <w:t xml:space="preserve">. </w:t>
      </w:r>
      <w:proofErr w:type="gramStart"/>
      <w:r w:rsidRPr="00666148">
        <w:t>Data from Met.</w:t>
      </w:r>
      <w:bookmarkEnd w:id="22"/>
      <w:proofErr w:type="gramEnd"/>
    </w:p>
    <w:p w14:paraId="5C987415" w14:textId="2314BE3D" w:rsidR="00CD7E22" w:rsidRPr="00D53A5F" w:rsidRDefault="00275C9C" w:rsidP="002832B1">
      <w:pPr>
        <w:pStyle w:val="Heading3"/>
      </w:pPr>
      <w:r>
        <w:lastRenderedPageBreak/>
        <w:t xml:space="preserve">The </w:t>
      </w:r>
      <w:r w:rsidR="002476BB">
        <w:t>Water Supply Allocation Plan (</w:t>
      </w:r>
      <w:r w:rsidR="00E43F24">
        <w:t>W</w:t>
      </w:r>
      <w:r w:rsidR="00CD7E22" w:rsidRPr="00D53A5F">
        <w:t>SAP)</w:t>
      </w:r>
    </w:p>
    <w:p w14:paraId="4C1928BA" w14:textId="77777777" w:rsidR="00020EEB" w:rsidRDefault="00020EEB" w:rsidP="00020EEB">
      <w:r>
        <w:t>Recognizing the need for an alternative to preferential rights to address water demands under drought conditions, in 2008 Met approved a Water Supply Allocation Plan (WSAP). The plan describes a methodology for distributing water during regional shortages, aiming to distribute reduced water supplies among agencies directly according to their needs.</w:t>
      </w:r>
    </w:p>
    <w:p w14:paraId="7C3C49B9" w14:textId="77777777" w:rsidR="00020EEB" w:rsidRDefault="00020EEB" w:rsidP="00020EEB">
      <w:r>
        <w:t>Under the WSAP, an agency’s allocation is based on their recent water usage, with some credits and deductions to account for past conservation efforts, changes in</w:t>
      </w:r>
      <w:r w:rsidRPr="007B78BE">
        <w:t xml:space="preserve"> local water supplies</w:t>
      </w:r>
      <w:r>
        <w:t xml:space="preserve">, and other water supply considerations. </w:t>
      </w:r>
    </w:p>
    <w:p w14:paraId="1AD57E9D" w14:textId="19A2A716" w:rsidR="002476BB" w:rsidRDefault="00020EEB" w:rsidP="00020EEB">
      <w:r>
        <w:t xml:space="preserve">Agencies may purchase water up to their allocated quantity at Met’s lowest volumetric price, known as the </w:t>
      </w:r>
      <w:r w:rsidRPr="00B311F6">
        <w:t>Tier I rate</w:t>
      </w:r>
      <w:r>
        <w:t xml:space="preserve">. They are allowed to purchase water additional to their allocated quantity, but they must then pay an </w:t>
      </w:r>
      <w:r w:rsidRPr="00B311F6">
        <w:t>Allocation Surcharge</w:t>
      </w:r>
      <w:r>
        <w:t xml:space="preserve">. Thus, the WSAP </w:t>
      </w:r>
      <w:r w:rsidR="007A753C">
        <w:t xml:space="preserve">serves as </w:t>
      </w:r>
      <w:r>
        <w:t xml:space="preserve">less of a fixed allocation than a form of price </w:t>
      </w:r>
      <w:r w:rsidR="007A753C">
        <w:t>control that</w:t>
      </w:r>
      <w:r>
        <w:t xml:space="preserve"> encourages demand reduction via a two-tier block rate. </w:t>
      </w:r>
      <w:r w:rsidRPr="002476BB">
        <w:t>In</w:t>
      </w:r>
      <w:r>
        <w:t xml:space="preserve"> a sense, this system is analogous to “budget-based rates”, a pricing structure used by some retail agencies in which customers are allotted a certain quantity of water based on their historical use, which they may purchase at a low price; water consumed above the allotment incurs a penalty fee.</w:t>
      </w:r>
    </w:p>
    <w:p w14:paraId="050D257D" w14:textId="0DEA5EF8" w:rsidR="000431DF" w:rsidRDefault="007B78BE" w:rsidP="002832B1">
      <w:r>
        <w:t xml:space="preserve">The </w:t>
      </w:r>
      <w:r w:rsidR="00E43F24">
        <w:t>W</w:t>
      </w:r>
      <w:r>
        <w:t xml:space="preserve">SAP was </w:t>
      </w:r>
      <w:r w:rsidR="00923078">
        <w:t xml:space="preserve">intended to </w:t>
      </w:r>
      <w:r w:rsidR="0014751C">
        <w:t xml:space="preserve">address some of the concerns raised </w:t>
      </w:r>
      <w:r w:rsidR="00923078">
        <w:t>preferential rights by taking into account each agency’</w:t>
      </w:r>
      <w:r w:rsidR="002476BB">
        <w:t>s dependence on Met, though not all agencies considered it equitable.</w:t>
      </w:r>
      <w:r w:rsidR="002476BB">
        <w:rPr>
          <w:rStyle w:val="EndnoteReference"/>
        </w:rPr>
        <w:endnoteReference w:id="11"/>
      </w:r>
      <w:r w:rsidR="00923078">
        <w:t xml:space="preserve"> </w:t>
      </w:r>
      <w:r>
        <w:t xml:space="preserve">The </w:t>
      </w:r>
      <w:r w:rsidR="00E43F24">
        <w:t>W</w:t>
      </w:r>
      <w:r>
        <w:t xml:space="preserve">SAP does not </w:t>
      </w:r>
      <w:r w:rsidR="007F5753">
        <w:t>supersede</w:t>
      </w:r>
      <w:r>
        <w:t xml:space="preserve"> preferentia</w:t>
      </w:r>
      <w:r w:rsidR="00797100">
        <w:t>l rights; it</w:t>
      </w:r>
      <w:r>
        <w:t xml:space="preserve"> is an </w:t>
      </w:r>
      <w:r w:rsidR="007F5753">
        <w:t>alternative option</w:t>
      </w:r>
      <w:r>
        <w:t xml:space="preserve"> to minimize the impact of a drought across all member agencies</w:t>
      </w:r>
      <w:r w:rsidR="00FA5C76">
        <w:t>.</w:t>
      </w:r>
    </w:p>
    <w:p w14:paraId="1F3EDB64" w14:textId="13ECE6FF" w:rsidR="00923078" w:rsidRDefault="00923078" w:rsidP="002832B1">
      <w:r>
        <w:t xml:space="preserve">As we will discuss, the </w:t>
      </w:r>
      <w:r w:rsidR="00E43F24">
        <w:t>W</w:t>
      </w:r>
      <w:r>
        <w:t xml:space="preserve">SAP suffers from an issue common to many allocation systems that use historical usage as a strategy: by basing an agency’s allocation on its baseline usage, the </w:t>
      </w:r>
      <w:r w:rsidR="00E43F24">
        <w:t>W</w:t>
      </w:r>
      <w:r>
        <w:t>SAP rewards high usage in the past with a larger share during times of drought.</w:t>
      </w:r>
      <w:r w:rsidR="00DF4AAC">
        <w:t xml:space="preserve"> Thus there is little incentive in this plan for agencies to conserve during wet years. </w:t>
      </w:r>
    </w:p>
    <w:p w14:paraId="1B889542" w14:textId="32C9C34D" w:rsidR="00D53967" w:rsidRDefault="00FA5C76" w:rsidP="002832B1">
      <w:r>
        <w:t xml:space="preserve">The </w:t>
      </w:r>
      <w:r w:rsidR="00E43F24">
        <w:t>W</w:t>
      </w:r>
      <w:r>
        <w:t xml:space="preserve">SAP was last implemented from 2009-11. </w:t>
      </w:r>
      <w:r w:rsidR="00D53967">
        <w:t>Recognizing that a water shortage may be imminent in 2015, Met approved a</w:t>
      </w:r>
      <w:r w:rsidR="005969FC">
        <w:t>n updated</w:t>
      </w:r>
      <w:r w:rsidR="00D53967">
        <w:t xml:space="preserve"> 2015 version </w:t>
      </w:r>
      <w:r w:rsidR="005969FC">
        <w:t xml:space="preserve">of the </w:t>
      </w:r>
      <w:r w:rsidR="00E43F24">
        <w:t>W</w:t>
      </w:r>
      <w:r w:rsidR="005969FC">
        <w:t xml:space="preserve">SAP </w:t>
      </w:r>
      <w:r w:rsidR="00D53967">
        <w:t>on December 9, 2014.</w:t>
      </w:r>
      <w:r w:rsidR="00D53967">
        <w:rPr>
          <w:rStyle w:val="EndnoteReference"/>
        </w:rPr>
        <w:endnoteReference w:id="12"/>
      </w:r>
      <w:r w:rsidR="00563826">
        <w:t xml:space="preserve"> As of February 2015, it appears likely that Met will vote to approve </w:t>
      </w:r>
      <w:r>
        <w:t xml:space="preserve">a shortage level </w:t>
      </w:r>
      <w:r w:rsidR="00775BEF">
        <w:t xml:space="preserve">1 or 2 (a </w:t>
      </w:r>
      <w:r>
        <w:t>5-10% reduction</w:t>
      </w:r>
      <w:r w:rsidR="00775BEF">
        <w:t>)</w:t>
      </w:r>
      <w:r w:rsidR="005969FC">
        <w:t xml:space="preserve"> </w:t>
      </w:r>
      <w:r w:rsidR="00563826">
        <w:t>in April</w:t>
      </w:r>
      <w:r w:rsidR="00775BEF">
        <w:t>.</w:t>
      </w:r>
      <w:r w:rsidR="00AA6B2A">
        <w:rPr>
          <w:rStyle w:val="EndnoteReference"/>
        </w:rPr>
        <w:endnoteReference w:id="13"/>
      </w:r>
    </w:p>
    <w:p w14:paraId="2AFD7312" w14:textId="7D9BC33A" w:rsidR="00212B18" w:rsidRPr="00563826" w:rsidRDefault="00704104" w:rsidP="002832B1">
      <w:pPr>
        <w:pStyle w:val="Heading3"/>
      </w:pPr>
      <w:r>
        <w:lastRenderedPageBreak/>
        <w:t>Met</w:t>
      </w:r>
      <w:r w:rsidR="00126454" w:rsidRPr="00D55C6F">
        <w:t xml:space="preserve"> Pricing</w:t>
      </w:r>
    </w:p>
    <w:p w14:paraId="0295961F" w14:textId="77777777" w:rsidR="00020EEB" w:rsidRDefault="00020EEB" w:rsidP="00020EEB">
      <w:r>
        <w:t xml:space="preserve">Water suppliers may motivate their customers to conserve by setting volumetric prices to signal resource scarcity. </w:t>
      </w:r>
      <w:r w:rsidRPr="00B311F6">
        <w:t>Tiered block rates</w:t>
      </w:r>
      <w:r>
        <w:t>, a structure in which the marginal price of water increases with increasing usage, are common among retail agencies. Met uses a similar tiered price structure.</w:t>
      </w:r>
    </w:p>
    <w:p w14:paraId="3FACC654" w14:textId="77777777" w:rsidR="00020EEB" w:rsidRDefault="00020EEB" w:rsidP="00020EEB">
      <w:r>
        <w:t xml:space="preserve">The majority of water that Met sells is potable drinking water, also known as </w:t>
      </w:r>
      <w:r w:rsidRPr="00B311F6">
        <w:t>Full Service Treated</w:t>
      </w:r>
      <w:r>
        <w:t>. Full service treated water is priced according to two tiers; 2015 prices for Tier 1 and Tier 2 water are $923/AF and $1055/AF respectively. During non-shortage years, member agencies may enter into a purchase order agreement that specifies a quantity of water the agency will commit to purchase over 10 years. Purchase orders</w:t>
      </w:r>
      <w:r w:rsidRPr="00367515">
        <w:t xml:space="preserve"> establish a financial commitment from t</w:t>
      </w:r>
      <w:r>
        <w:t>he member agency to Met, and in the process, provide information to Met that they can use to manage supply</w:t>
      </w:r>
      <w:r w:rsidRPr="00367515">
        <w:t xml:space="preserve">. </w:t>
      </w:r>
      <w:r>
        <w:t>W</w:t>
      </w:r>
      <w:r w:rsidRPr="00126454">
        <w:t>ith a purchase order, member agencies may purchase up to 90% of their base demand at the Tier 1 rate</w:t>
      </w:r>
      <w:r>
        <w:t xml:space="preserve">; additional water may be purchased at Tier 2 rates. </w:t>
      </w:r>
      <w:r w:rsidRPr="00126454">
        <w:t>Without a purchase order, Tier 2 rates apply to any purchases above 60% of their base demand.</w:t>
      </w:r>
      <w:r>
        <w:t xml:space="preserve"> </w:t>
      </w:r>
      <w:r w:rsidRPr="00367515">
        <w:t>Twenty-three of the twen</w:t>
      </w:r>
      <w:r>
        <w:t>ty-six member agencies are under purchase orders. In shortage years, agencies are allocated a smaller quantity of Tier I water, and pay a steeper penalty rate for additional water.</w:t>
      </w:r>
    </w:p>
    <w:p w14:paraId="62415EA8" w14:textId="77777777" w:rsidR="00020EEB" w:rsidRDefault="00020EEB" w:rsidP="00020EEB">
      <w:r>
        <w:t>If Met were to declare a shortage and allocate supply, penalties (surcharges) would be</w:t>
      </w:r>
      <w:r w:rsidRPr="00126454">
        <w:t xml:space="preserve"> applied to with increasing severity as purchases extend beyond </w:t>
      </w:r>
      <w:r>
        <w:t>an agency’s</w:t>
      </w:r>
      <w:r w:rsidRPr="00126454">
        <w:t xml:space="preserve"> </w:t>
      </w:r>
      <w:r>
        <w:t>allocation</w:t>
      </w:r>
      <w:r w:rsidRPr="00126454">
        <w:t xml:space="preserve">. </w:t>
      </w:r>
      <w:r>
        <w:t>In December 2014, Met approved a surcharge of $1,480 per AF for water use between 100% and 115% of an agency’s allocation and a surcharge of $2,960 per AF for water use greater than 115% of allocation.</w:t>
      </w:r>
      <w:r>
        <w:rPr>
          <w:rStyle w:val="EndnoteReference"/>
        </w:rPr>
        <w:endnoteReference w:id="14"/>
      </w:r>
    </w:p>
    <w:p w14:paraId="17A30D47" w14:textId="00D93138" w:rsidR="00727DB0" w:rsidRDefault="00020EEB" w:rsidP="00020EEB">
      <w:r>
        <w:t>We argue that Met’s pricing of water during non-shortage years does not create a strong signal that would promote conservation, for two reasons:</w:t>
      </w:r>
    </w:p>
    <w:p w14:paraId="45BF6A99" w14:textId="3FAB30AF" w:rsidR="00727DB0" w:rsidRDefault="00727DB0" w:rsidP="00727DB0">
      <w:pPr>
        <w:pStyle w:val="ListParagraph"/>
        <w:numPr>
          <w:ilvl w:val="0"/>
          <w:numId w:val="36"/>
        </w:numPr>
      </w:pPr>
      <w:r>
        <w:t xml:space="preserve">The Tier I </w:t>
      </w:r>
      <w:r w:rsidR="00FC4CB4">
        <w:t>rate applies to almost all (90%) of an agency’s base demand. As</w:t>
      </w:r>
      <w:r>
        <w:t xml:space="preserve"> such </w:t>
      </w:r>
      <w:r w:rsidR="00FC4CB4">
        <w:t>there is little economic signal to reflect the relationship between value and demand</w:t>
      </w:r>
      <w:r w:rsidR="005A5F3D">
        <w:t>.</w:t>
      </w:r>
    </w:p>
    <w:p w14:paraId="4AA9F856" w14:textId="13551726" w:rsidR="003C5CA7" w:rsidRDefault="00727DB0" w:rsidP="00727DB0">
      <w:pPr>
        <w:pStyle w:val="ListParagraph"/>
        <w:numPr>
          <w:ilvl w:val="0"/>
          <w:numId w:val="36"/>
        </w:numPr>
      </w:pPr>
      <w:r>
        <w:t>The difference between Tier 1 and Tier 2 rates is small (a 14% increase)</w:t>
      </w:r>
      <w:proofErr w:type="gramStart"/>
      <w:r>
        <w:t>.</w:t>
      </w:r>
      <w:r w:rsidR="0077773A">
        <w:t>,</w:t>
      </w:r>
      <w:proofErr w:type="gramEnd"/>
      <w:r w:rsidR="0077773A">
        <w:t xml:space="preserve"> and there is no limit on how much Tier 2 water you can purchase.</w:t>
      </w:r>
    </w:p>
    <w:p w14:paraId="4B7D1AD0" w14:textId="2DCA8F6B" w:rsidR="00E72256" w:rsidRDefault="00E72256" w:rsidP="00E72256">
      <w:r>
        <w:t>During shortage years, the steeper penalty rates may create a strong</w:t>
      </w:r>
      <w:r w:rsidR="005A5F3D">
        <w:t>er</w:t>
      </w:r>
      <w:r>
        <w:t xml:space="preserve"> price signal, but </w:t>
      </w:r>
      <w:r w:rsidR="005A5F3D">
        <w:t xml:space="preserve">we argue that the historical usage </w:t>
      </w:r>
      <w:r w:rsidR="0077773A">
        <w:t>basis employed by the WSAP to allocate Tier I water minimizes the effectiveness of the penalty rate</w:t>
      </w:r>
      <w:r w:rsidR="005A5F3D">
        <w:t>.</w:t>
      </w:r>
    </w:p>
    <w:p w14:paraId="300C6CCF" w14:textId="77777777" w:rsidR="00163EE1" w:rsidRPr="00EE36AD" w:rsidRDefault="007B6ECE" w:rsidP="002832B1">
      <w:pPr>
        <w:pStyle w:val="Heading2"/>
      </w:pPr>
      <w:bookmarkStart w:id="23" w:name="_Toc411777907"/>
      <w:bookmarkStart w:id="24" w:name="_Toc416611296"/>
      <w:bookmarkEnd w:id="23"/>
      <w:r w:rsidRPr="00EE36AD">
        <w:lastRenderedPageBreak/>
        <w:t>Long Beach Water Department</w:t>
      </w:r>
      <w:bookmarkEnd w:id="24"/>
    </w:p>
    <w:p w14:paraId="5D4957FB" w14:textId="7349FF5F" w:rsidR="00EE36AD" w:rsidRDefault="00A97F00" w:rsidP="002832B1">
      <w:r>
        <w:t>LBWD</w:t>
      </w:r>
      <w:r w:rsidR="00B779C8">
        <w:t xml:space="preserve"> provides water </w:t>
      </w:r>
      <w:r>
        <w:t>to approximately 462,000 people</w:t>
      </w:r>
      <w:r w:rsidR="00B779C8">
        <w:t xml:space="preserve"> across a service area </w:t>
      </w:r>
      <w:r>
        <w:t>that approximately corresponds to the municipal boundaries of the City of Long Beach (</w:t>
      </w:r>
      <w:r>
        <w:fldChar w:fldCharType="begin"/>
      </w:r>
      <w:r>
        <w:instrText xml:space="preserve"> REF _Ref411861881 \h </w:instrText>
      </w:r>
      <w:r>
        <w:fldChar w:fldCharType="separate"/>
      </w:r>
      <w:r w:rsidR="006B398D">
        <w:t xml:space="preserve">Figure </w:t>
      </w:r>
      <w:r w:rsidR="006B398D">
        <w:rPr>
          <w:noProof/>
        </w:rPr>
        <w:t>2</w:t>
      </w:r>
      <w:r w:rsidR="006B398D">
        <w:noBreakHyphen/>
      </w:r>
      <w:r w:rsidR="006B398D">
        <w:rPr>
          <w:noProof/>
        </w:rPr>
        <w:t>3</w:t>
      </w:r>
      <w:r>
        <w:fldChar w:fldCharType="end"/>
      </w:r>
      <w:r>
        <w:t>). LBWD purchases about</w:t>
      </w:r>
      <w:r w:rsidR="00B779C8">
        <w:t xml:space="preserve"> 40% of their supply from M</w:t>
      </w:r>
      <w:r>
        <w:t>et</w:t>
      </w:r>
      <w:r w:rsidR="002D3854">
        <w:t>, with the balance</w:t>
      </w:r>
      <w:r w:rsidR="00B779C8">
        <w:t xml:space="preserve"> coming from local </w:t>
      </w:r>
      <w:r>
        <w:t>groundwater and recycled wastewater</w:t>
      </w:r>
      <w:r w:rsidR="00B779C8">
        <w:t>.</w:t>
      </w:r>
    </w:p>
    <w:p w14:paraId="2E14EE22" w14:textId="2FC2B229" w:rsidR="00F6380D" w:rsidRDefault="00F6380D" w:rsidP="00F6380D">
      <w:r>
        <w:t xml:space="preserve">LBWD conducts one of the most progressive water conservation campaigns in Southern California. </w:t>
      </w:r>
      <w:r w:rsidR="00D95B15">
        <w:t>Through initiatives like their Lawn-to-Garden turf replacement program, public awareness campaigns, and water use restrictions, the department has created long-term reductions in water use since the 1980s</w:t>
      </w:r>
      <w:r>
        <w:t>. Water use efficiency is often measured in gallons per capita per day (</w:t>
      </w:r>
      <w:proofErr w:type="spellStart"/>
      <w:r w:rsidR="00B82BFE">
        <w:t>gpcd</w:t>
      </w:r>
      <w:proofErr w:type="spellEnd"/>
      <w:r>
        <w:t xml:space="preserve">), the </w:t>
      </w:r>
      <w:r w:rsidR="00C866DF">
        <w:t xml:space="preserve">average </w:t>
      </w:r>
      <w:r>
        <w:t>am</w:t>
      </w:r>
      <w:r w:rsidR="00C866DF">
        <w:t>ount of water used per</w:t>
      </w:r>
      <w:r>
        <w:t xml:space="preserve"> person in one day (unless otherwise specified, this includes </w:t>
      </w:r>
      <w:r w:rsidR="00E75E23">
        <w:t xml:space="preserve">both </w:t>
      </w:r>
      <w:r>
        <w:t>water used directly in the home and water used indirectly by commercial and industrial activities). Long Beach succeeded in reducing their water use from</w:t>
      </w:r>
      <w:r w:rsidR="00D27468">
        <w:t xml:space="preserve"> 17</w:t>
      </w:r>
      <w:r>
        <w:t xml:space="preserve">7 </w:t>
      </w:r>
      <w:proofErr w:type="spellStart"/>
      <w:r w:rsidR="00B82BFE">
        <w:t>gpcd</w:t>
      </w:r>
      <w:proofErr w:type="spellEnd"/>
      <w:r w:rsidR="00D27468">
        <w:t xml:space="preserve"> in 1983</w:t>
      </w:r>
      <w:r>
        <w:t xml:space="preserve"> to 110 </w:t>
      </w:r>
      <w:proofErr w:type="spellStart"/>
      <w:r w:rsidR="00B82BFE">
        <w:t>gpcd</w:t>
      </w:r>
      <w:proofErr w:type="spellEnd"/>
      <w:r w:rsidR="00D95B15">
        <w:t xml:space="preserve"> in 2014; th</w:t>
      </w:r>
      <w:r>
        <w:t xml:space="preserve">e average water consumption in Southern California is </w:t>
      </w:r>
      <w:r w:rsidR="00D95B15">
        <w:t xml:space="preserve">currently </w:t>
      </w:r>
      <w:r>
        <w:t xml:space="preserve">over 180 </w:t>
      </w:r>
      <w:proofErr w:type="spellStart"/>
      <w:r w:rsidR="00B82BFE">
        <w:t>gpcd</w:t>
      </w:r>
      <w:proofErr w:type="spellEnd"/>
      <w:r w:rsidR="00D27468">
        <w:t xml:space="preserve"> </w:t>
      </w:r>
      <w:r>
        <w:t>(</w:t>
      </w:r>
      <w:r w:rsidR="00D27468">
        <w:fldChar w:fldCharType="begin"/>
      </w:r>
      <w:r w:rsidR="00D27468">
        <w:instrText xml:space="preserve"> REF _Ref411867617 \h </w:instrText>
      </w:r>
      <w:r w:rsidR="00D27468">
        <w:fldChar w:fldCharType="separate"/>
      </w:r>
      <w:r w:rsidR="006B398D">
        <w:t xml:space="preserve">Figure </w:t>
      </w:r>
      <w:r w:rsidR="006B398D">
        <w:rPr>
          <w:noProof/>
        </w:rPr>
        <w:t>2</w:t>
      </w:r>
      <w:r w:rsidR="006B398D">
        <w:noBreakHyphen/>
      </w:r>
      <w:r w:rsidR="006B398D">
        <w:rPr>
          <w:noProof/>
        </w:rPr>
        <w:t>4</w:t>
      </w:r>
      <w:r w:rsidR="00D27468">
        <w:fldChar w:fldCharType="end"/>
      </w:r>
      <w:r>
        <w:t>)</w:t>
      </w:r>
      <w:r w:rsidR="00D27468">
        <w:t>.</w:t>
      </w:r>
      <w:r w:rsidR="00D27468">
        <w:rPr>
          <w:rStyle w:val="EndnoteReference"/>
        </w:rPr>
        <w:endnoteReference w:id="15"/>
      </w:r>
      <w:r w:rsidR="00E75E23">
        <w:t xml:space="preserve"> Much of the recent reduction occurred during the 2008-9 drought, when a regional water shortage forced the Met agencies into allocation. </w:t>
      </w:r>
    </w:p>
    <w:p w14:paraId="4E70740F" w14:textId="2839B14F" w:rsidR="00F6380D" w:rsidRDefault="0077773A" w:rsidP="00F6380D">
      <w:r>
        <w:t>The actions of Long Beach residents illustrate</w:t>
      </w:r>
      <w:r w:rsidR="00F6380D">
        <w:t xml:space="preserve"> the success that LBWD has had in </w:t>
      </w:r>
      <w:r>
        <w:t>preparing</w:t>
      </w:r>
      <w:r w:rsidR="00F6380D">
        <w:t xml:space="preserve"> the</w:t>
      </w:r>
      <w:r>
        <w:t>ir customers</w:t>
      </w:r>
      <w:r w:rsidR="00F6380D">
        <w:t xml:space="preserve"> </w:t>
      </w:r>
      <w:r>
        <w:t xml:space="preserve">for </w:t>
      </w:r>
      <w:r w:rsidR="009F2985">
        <w:t>future drought</w:t>
      </w:r>
      <w:r w:rsidR="00F6380D">
        <w:t xml:space="preserve">. In July 2014, </w:t>
      </w:r>
      <w:r w:rsidR="00020EEB">
        <w:t xml:space="preserve">total </w:t>
      </w:r>
      <w:r w:rsidR="00F6380D">
        <w:t xml:space="preserve">water use in Long Beach was </w:t>
      </w:r>
      <w:r w:rsidR="00020EEB">
        <w:t xml:space="preserve">at its </w:t>
      </w:r>
      <w:r w:rsidR="00F6380D">
        <w:t xml:space="preserve">the lowest </w:t>
      </w:r>
      <w:r w:rsidR="00020EEB">
        <w:t xml:space="preserve">point </w:t>
      </w:r>
      <w:r w:rsidR="00F6380D">
        <w:t>since 1958, when the city had 150,000 fewer residents, and was 21% below the city’s 10-year historical average.</w:t>
      </w:r>
      <w:r w:rsidR="00F6380D">
        <w:rPr>
          <w:rStyle w:val="EndnoteReference"/>
        </w:rPr>
        <w:endnoteReference w:id="16"/>
      </w:r>
      <w:r w:rsidR="00F6380D">
        <w:t xml:space="preserve"> August 2014 was another record-breaking month, coming in at 23% below the city’s 10-year historical average.</w:t>
      </w:r>
    </w:p>
    <w:p w14:paraId="75020B6F" w14:textId="77777777" w:rsidR="008D5486" w:rsidRDefault="008D5486" w:rsidP="00F6380D">
      <w:pPr>
        <w:rPr>
          <w:noProof/>
        </w:rPr>
      </w:pPr>
    </w:p>
    <w:p w14:paraId="62CBE514" w14:textId="77777777" w:rsidR="008D5486" w:rsidRDefault="008D5486" w:rsidP="008D5486">
      <w:pPr>
        <w:jc w:val="center"/>
        <w:rPr>
          <w:noProof/>
        </w:rPr>
      </w:pPr>
    </w:p>
    <w:p w14:paraId="14C499AC" w14:textId="13B071BF" w:rsidR="008D5486" w:rsidRDefault="00D30E5E" w:rsidP="008D5486">
      <w:pPr>
        <w:keepNext/>
        <w:jc w:val="center"/>
      </w:pPr>
      <w:r>
        <w:rPr>
          <w:noProof/>
        </w:rPr>
        <w:lastRenderedPageBreak/>
        <mc:AlternateContent>
          <mc:Choice Requires="wps">
            <w:drawing>
              <wp:anchor distT="0" distB="0" distL="114300" distR="114300" simplePos="0" relativeHeight="251659264" behindDoc="0" locked="0" layoutInCell="1" allowOverlap="1" wp14:anchorId="636458FC" wp14:editId="6B1A9FFE">
                <wp:simplePos x="0" y="0"/>
                <wp:positionH relativeFrom="column">
                  <wp:posOffset>2828925</wp:posOffset>
                </wp:positionH>
                <wp:positionV relativeFrom="paragraph">
                  <wp:posOffset>2143125</wp:posOffset>
                </wp:positionV>
                <wp:extent cx="201433" cy="419100"/>
                <wp:effectExtent l="57150" t="38100" r="65405" b="76200"/>
                <wp:wrapNone/>
                <wp:docPr id="16" name="Straight Connector 16"/>
                <wp:cNvGraphicFramePr/>
                <a:graphic xmlns:a="http://schemas.openxmlformats.org/drawingml/2006/main">
                  <a:graphicData uri="http://schemas.microsoft.com/office/word/2010/wordprocessingShape">
                    <wps:wsp>
                      <wps:cNvCnPr/>
                      <wps:spPr>
                        <a:xfrm flipV="1">
                          <a:off x="0" y="0"/>
                          <a:ext cx="201433" cy="419100"/>
                        </a:xfrm>
                        <a:prstGeom prst="line">
                          <a:avLst/>
                        </a:prstGeom>
                        <a:ln w="19050">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89760E3" id="Straight Connector 1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75pt,168.75pt" to="238.6pt,2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" strokecolor="black [3213]" strokeweight="1.5pt">
                <v:shadow on="t" color="black" opacity="24903f" origin=",.5" offset="0,.55556mm"/>
              </v:line>
            </w:pict>
          </mc:Fallback>
        </mc:AlternateContent>
      </w:r>
      <w:r w:rsidR="00D27468">
        <w:rPr>
          <w:noProof/>
        </w:rPr>
        <mc:AlternateContent>
          <mc:Choice Requires="wps">
            <w:drawing>
              <wp:anchor distT="0" distB="0" distL="114300" distR="114300" simplePos="0" relativeHeight="251657216" behindDoc="0" locked="0" layoutInCell="1" allowOverlap="1" wp14:anchorId="3019EB60" wp14:editId="73085705">
                <wp:simplePos x="0" y="0"/>
                <wp:positionH relativeFrom="column">
                  <wp:posOffset>1156335</wp:posOffset>
                </wp:positionH>
                <wp:positionV relativeFrom="paragraph">
                  <wp:posOffset>2497133</wp:posOffset>
                </wp:positionV>
                <wp:extent cx="2083242" cy="4857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2083242"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071EFD" w14:textId="77777777" w:rsidR="001E3F44" w:rsidRDefault="001E3F44" w:rsidP="00D27468">
                            <w:pPr>
                              <w:spacing w:after="0" w:line="240" w:lineRule="auto"/>
                              <w:rPr>
                                <w:sz w:val="22"/>
                              </w:rPr>
                            </w:pPr>
                            <w:r w:rsidRPr="00D27468">
                              <w:rPr>
                                <w:sz w:val="22"/>
                              </w:rPr>
                              <w:t>Long Beach Water Department’</w:t>
                            </w:r>
                            <w:r>
                              <w:rPr>
                                <w:sz w:val="22"/>
                              </w:rPr>
                              <w:t>s</w:t>
                            </w:r>
                          </w:p>
                          <w:p w14:paraId="3988BBC4" w14:textId="193CADF3" w:rsidR="001E3F44" w:rsidRPr="00D27468" w:rsidRDefault="001E3F44">
                            <w:pPr>
                              <w:rPr>
                                <w:sz w:val="22"/>
                              </w:rPr>
                            </w:pPr>
                            <w:proofErr w:type="gramStart"/>
                            <w:r w:rsidRPr="00D27468">
                              <w:rPr>
                                <w:sz w:val="22"/>
                              </w:rPr>
                              <w:t>service</w:t>
                            </w:r>
                            <w:proofErr w:type="gramEnd"/>
                            <w:r w:rsidRPr="00D27468">
                              <w:rPr>
                                <w:sz w:val="22"/>
                              </w:rPr>
                              <w:t xml:space="preserve">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019EB60" id="_x0000_t202" coordsize="21600,21600" o:spt="202" path="m,l,21600r21600,l21600,xe">
                <v:stroke joinstyle="miter"/>
                <v:path gradientshapeok="t" o:connecttype="rect"/>
              </v:shapetype>
              <v:shape id="Text Box 15" o:spid="_x0000_s1026" type="#_x0000_t202" style="position:absolute;left:0;text-align:left;margin-left:91.05pt;margin-top:196.6pt;width:164.05pt;height:38.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" fillcolor="white [3201]" stroked="f" strokeweight=".5pt">
                <v:textbox>
                  <w:txbxContent>
                    <w:p w14:paraId="51071EFD" w14:textId="77777777" w:rsidR="007B7741" w:rsidRDefault="007B7741" w:rsidP="00D27468">
                      <w:pPr>
                        <w:spacing w:after="0" w:line="240" w:lineRule="auto"/>
                        <w:rPr>
                          <w:sz w:val="22"/>
                        </w:rPr>
                      </w:pPr>
                      <w:r w:rsidRPr="00D27468">
                        <w:rPr>
                          <w:sz w:val="22"/>
                        </w:rPr>
                        <w:t>Long Beach Water Department’</w:t>
                      </w:r>
                      <w:r>
                        <w:rPr>
                          <w:sz w:val="22"/>
                        </w:rPr>
                        <w:t>s</w:t>
                      </w:r>
                    </w:p>
                    <w:p w14:paraId="3988BBC4" w14:textId="193CADF3" w:rsidR="007B7741" w:rsidRPr="00D27468" w:rsidRDefault="007B7741">
                      <w:pPr>
                        <w:rPr>
                          <w:sz w:val="22"/>
                        </w:rPr>
                      </w:pPr>
                      <w:r w:rsidRPr="00D27468">
                        <w:rPr>
                          <w:sz w:val="22"/>
                        </w:rPr>
                        <w:t>service area</w:t>
                      </w:r>
                    </w:p>
                  </w:txbxContent>
                </v:textbox>
              </v:shape>
            </w:pict>
          </mc:Fallback>
        </mc:AlternateContent>
      </w:r>
      <w:r w:rsidR="008D5486">
        <w:rPr>
          <w:noProof/>
        </w:rPr>
        <w:drawing>
          <wp:inline distT="0" distB="0" distL="0" distR="0" wp14:anchorId="3EC413D9" wp14:editId="4140733A">
            <wp:extent cx="4307693" cy="2980707"/>
            <wp:effectExtent l="0" t="0" r="0" b="0"/>
            <wp:docPr id="14" name="Picture 14" descr="C:\Users\Lauren\Documents\My Dropbox\Bren\0 - Group Project - Long Beach\3. Images\MWD service area map hi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en\Documents\My Dropbox\Bren\0 - Group Project - Long Beach\3. Images\MWD service area map hi res.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8883" t="26716" r="41807" b="44186"/>
                    <a:stretch/>
                  </pic:blipFill>
                  <pic:spPr bwMode="auto">
                    <a:xfrm>
                      <a:off x="0" y="0"/>
                      <a:ext cx="4307693" cy="2980707"/>
                    </a:xfrm>
                    <a:prstGeom prst="rect">
                      <a:avLst/>
                    </a:prstGeom>
                    <a:noFill/>
                    <a:ln>
                      <a:noFill/>
                    </a:ln>
                    <a:extLst>
                      <a:ext uri="{53640926-AAD7-44d8-BBD7-CCE9431645EC}">
                        <a14:shadowObscured xmlns:a14="http://schemas.microsoft.com/office/drawing/2010/main"/>
                      </a:ext>
                    </a:extLst>
                  </pic:spPr>
                </pic:pic>
              </a:graphicData>
            </a:graphic>
          </wp:inline>
        </w:drawing>
      </w:r>
    </w:p>
    <w:p w14:paraId="03DEE59B" w14:textId="02C279B3" w:rsidR="008D5486" w:rsidRDefault="008D5486" w:rsidP="008D5486">
      <w:pPr>
        <w:pStyle w:val="Caption"/>
      </w:pPr>
      <w:bookmarkStart w:id="25" w:name="_Ref411861881"/>
      <w:bookmarkStart w:id="26" w:name="_Toc416362755"/>
      <w:r>
        <w:t xml:space="preserve">Figure </w:t>
      </w:r>
      <w:r w:rsidR="00DF236E">
        <w:fldChar w:fldCharType="begin"/>
      </w:r>
      <w:r w:rsidR="00DF236E">
        <w:instrText xml:space="preserve"> STYLEREF 1 \s </w:instrText>
      </w:r>
      <w:r w:rsidR="00DF236E">
        <w:fldChar w:fldCharType="separate"/>
      </w:r>
      <w:r w:rsidR="00DC1192">
        <w:rPr>
          <w:noProof/>
        </w:rPr>
        <w:t>2</w:t>
      </w:r>
      <w:r w:rsidR="00DF236E">
        <w:rPr>
          <w:noProof/>
        </w:rPr>
        <w:fldChar w:fldCharType="end"/>
      </w:r>
      <w:r w:rsidR="00DC1192">
        <w:noBreakHyphen/>
      </w:r>
      <w:r w:rsidR="00DF236E">
        <w:fldChar w:fldCharType="begin"/>
      </w:r>
      <w:r w:rsidR="00DF236E">
        <w:instrText xml:space="preserve"> SEQ Figure \* ARABIC \s 1 </w:instrText>
      </w:r>
      <w:r w:rsidR="00DF236E">
        <w:fldChar w:fldCharType="separate"/>
      </w:r>
      <w:r w:rsidR="00DC1192">
        <w:rPr>
          <w:noProof/>
        </w:rPr>
        <w:t>4</w:t>
      </w:r>
      <w:r w:rsidR="00DF236E">
        <w:rPr>
          <w:noProof/>
        </w:rPr>
        <w:fldChar w:fldCharType="end"/>
      </w:r>
      <w:bookmarkEnd w:id="25"/>
      <w:r>
        <w:t>. The Long Beach Water Department provides water to nearly half a million customers throughout a service area that approximately corresponds with the borders of the City of Long Beach.</w:t>
      </w:r>
      <w:bookmarkEnd w:id="26"/>
    </w:p>
    <w:p w14:paraId="0D6F45CF" w14:textId="77777777" w:rsidR="001B06F3" w:rsidRDefault="00017E27" w:rsidP="001B06F3">
      <w:pPr>
        <w:keepNext/>
      </w:pPr>
      <w:r>
        <w:rPr>
          <w:noProof/>
        </w:rPr>
        <w:drawing>
          <wp:inline distT="0" distB="0" distL="0" distR="0" wp14:anchorId="1A72A34E" wp14:editId="523EAC66">
            <wp:extent cx="5257800" cy="3246755"/>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9246D90" w14:textId="16EF694B" w:rsidR="00017E27" w:rsidRPr="00017E27" w:rsidRDefault="001B06F3" w:rsidP="00D30E5E">
      <w:pPr>
        <w:pStyle w:val="Caption"/>
      </w:pPr>
      <w:bookmarkStart w:id="27" w:name="_Ref411867617"/>
      <w:bookmarkStart w:id="28" w:name="_Toc416362756"/>
      <w:r>
        <w:t xml:space="preserve">Figure </w:t>
      </w:r>
      <w:r w:rsidR="00DF236E">
        <w:fldChar w:fldCharType="begin"/>
      </w:r>
      <w:r w:rsidR="00DF236E">
        <w:instrText xml:space="preserve"> STYLEREF 1 \s </w:instrText>
      </w:r>
      <w:r w:rsidR="00DF236E">
        <w:fldChar w:fldCharType="separate"/>
      </w:r>
      <w:r w:rsidR="00DC1192">
        <w:rPr>
          <w:noProof/>
        </w:rPr>
        <w:t>2</w:t>
      </w:r>
      <w:r w:rsidR="00DF236E">
        <w:rPr>
          <w:noProof/>
        </w:rPr>
        <w:fldChar w:fldCharType="end"/>
      </w:r>
      <w:r w:rsidR="00DC1192">
        <w:noBreakHyphen/>
      </w:r>
      <w:r w:rsidR="00DF236E">
        <w:fldChar w:fldCharType="begin"/>
      </w:r>
      <w:r w:rsidR="00DF236E">
        <w:instrText xml:space="preserve"> SEQ Figure \* ARABIC \s 1 </w:instrText>
      </w:r>
      <w:r w:rsidR="00DF236E">
        <w:fldChar w:fldCharType="separate"/>
      </w:r>
      <w:r w:rsidR="00DC1192">
        <w:rPr>
          <w:noProof/>
        </w:rPr>
        <w:t>5</w:t>
      </w:r>
      <w:r w:rsidR="00DF236E">
        <w:rPr>
          <w:noProof/>
        </w:rPr>
        <w:fldChar w:fldCharType="end"/>
      </w:r>
      <w:bookmarkEnd w:id="27"/>
      <w:r>
        <w:t xml:space="preserve">. Long Beach decreased their per capita water consumption </w:t>
      </w:r>
      <w:r w:rsidR="002B606F">
        <w:t>by 40% from</w:t>
      </w:r>
      <w:r>
        <w:t xml:space="preserve"> 1983 to 2011.</w:t>
      </w:r>
      <w:r w:rsidR="00A55081">
        <w:t xml:space="preserve"> Much of the recent decrease occurred during the 2008-9 drought. </w:t>
      </w:r>
      <w:proofErr w:type="gramStart"/>
      <w:r w:rsidR="00A55081">
        <w:t xml:space="preserve">Data from </w:t>
      </w:r>
      <w:r w:rsidR="009A6D46">
        <w:t>L</w:t>
      </w:r>
      <w:r w:rsidR="00A55081">
        <w:t>BWD</w:t>
      </w:r>
      <w:r w:rsidR="009A6D46">
        <w:t>.</w:t>
      </w:r>
      <w:bookmarkEnd w:id="28"/>
      <w:proofErr w:type="gramEnd"/>
      <w:r>
        <w:t xml:space="preserve"> </w:t>
      </w:r>
    </w:p>
    <w:p w14:paraId="0B8AD8AA" w14:textId="1AC6E275" w:rsidR="00D56C88" w:rsidRPr="009C3004" w:rsidRDefault="00543750" w:rsidP="002832B1">
      <w:pPr>
        <w:pStyle w:val="Heading2"/>
      </w:pPr>
      <w:bookmarkStart w:id="29" w:name="_Toc411777909"/>
      <w:bookmarkStart w:id="30" w:name="_Toc416611297"/>
      <w:bookmarkEnd w:id="29"/>
      <w:r w:rsidRPr="009C3004">
        <w:lastRenderedPageBreak/>
        <w:t>Motivating</w:t>
      </w:r>
      <w:r w:rsidR="00D56C88" w:rsidRPr="009C3004">
        <w:t xml:space="preserve"> Water Conservation</w:t>
      </w:r>
      <w:bookmarkEnd w:id="30"/>
    </w:p>
    <w:p w14:paraId="0DE71E49" w14:textId="4D1C9783" w:rsidR="00070D9A" w:rsidRDefault="00CC2E68" w:rsidP="002832B1">
      <w:r>
        <w:t>Water suppliers have a</w:t>
      </w:r>
      <w:r w:rsidR="00D56C88">
        <w:t xml:space="preserve"> variety of </w:t>
      </w:r>
      <w:r>
        <w:t>tools to m</w:t>
      </w:r>
      <w:r w:rsidR="00D56C88">
        <w:t xml:space="preserve">otivate </w:t>
      </w:r>
      <w:r>
        <w:t>their customers to conserve</w:t>
      </w:r>
      <w:r w:rsidR="00D56C88">
        <w:t xml:space="preserve">. </w:t>
      </w:r>
      <w:r>
        <w:t>Public a</w:t>
      </w:r>
      <w:r w:rsidR="00AD565B">
        <w:t>ppeals urge</w:t>
      </w:r>
      <w:r w:rsidR="00D56C88">
        <w:t xml:space="preserve"> users to voluntarily reduce their consumption, identify inefficiencies and correct them, and consider the needs of oth</w:t>
      </w:r>
      <w:r>
        <w:t>er users</w:t>
      </w:r>
      <w:r w:rsidR="00D56C88">
        <w:t xml:space="preserve">. While </w:t>
      </w:r>
      <w:r w:rsidR="00937FA9">
        <w:t>appeals</w:t>
      </w:r>
      <w:r w:rsidR="00D56C88">
        <w:t xml:space="preserve"> may genera</w:t>
      </w:r>
      <w:r>
        <w:t>te some water savings, it p</w:t>
      </w:r>
      <w:r w:rsidR="00D56C88">
        <w:t>lace</w:t>
      </w:r>
      <w:r>
        <w:t>s</w:t>
      </w:r>
      <w:r w:rsidR="00D56C88">
        <w:t xml:space="preserve"> the burden on individuals to evaluate their own use</w:t>
      </w:r>
      <w:r>
        <w:t xml:space="preserve"> and make sacrifices to benefit</w:t>
      </w:r>
      <w:r w:rsidR="00D56C88">
        <w:t xml:space="preserve"> others</w:t>
      </w:r>
      <w:r>
        <w:t>,</w:t>
      </w:r>
      <w:r w:rsidR="00D56C88">
        <w:t xml:space="preserve"> while bearing the cost of </w:t>
      </w:r>
      <w:r w:rsidR="00AD565B">
        <w:t>changes to their water use or implementing conservation</w:t>
      </w:r>
      <w:r w:rsidR="00D56C88">
        <w:t xml:space="preserve"> </w:t>
      </w:r>
      <w:r>
        <w:t xml:space="preserve">measures on their own. </w:t>
      </w:r>
      <w:r w:rsidR="00AD565B">
        <w:t xml:space="preserve">However, without a personal incentive for conservation, reducing demand for water </w:t>
      </w:r>
      <w:r w:rsidR="00D56C88">
        <w:t xml:space="preserve">is unlikely to be met through </w:t>
      </w:r>
      <w:proofErr w:type="gramStart"/>
      <w:r w:rsidR="00D56C88">
        <w:t>good-will</w:t>
      </w:r>
      <w:proofErr w:type="gramEnd"/>
      <w:r w:rsidR="00D56C88">
        <w:t xml:space="preserve"> alone.</w:t>
      </w:r>
      <w:r>
        <w:rPr>
          <w:rStyle w:val="EndnoteReference"/>
        </w:rPr>
        <w:endnoteReference w:id="17"/>
      </w:r>
    </w:p>
    <w:p w14:paraId="64803B36" w14:textId="3329283C" w:rsidR="00937FA9" w:rsidRDefault="00070D9A" w:rsidP="002832B1">
      <w:r>
        <w:t xml:space="preserve">One alternative is </w:t>
      </w:r>
      <w:r w:rsidR="00937FA9">
        <w:t xml:space="preserve">regulation: Water suppliers and governments can </w:t>
      </w:r>
      <w:r w:rsidR="00D56C88">
        <w:t xml:space="preserve">mandate conservation through </w:t>
      </w:r>
      <w:r w:rsidR="00937FA9">
        <w:t xml:space="preserve">restrictions on use, rationing, </w:t>
      </w:r>
      <w:r w:rsidR="00D56C88">
        <w:t xml:space="preserve">taxes, </w:t>
      </w:r>
      <w:r w:rsidR="00937FA9">
        <w:t xml:space="preserve">or penalties. </w:t>
      </w:r>
      <w:r w:rsidR="00AD565B">
        <w:t xml:space="preserve">In this way, the incentive is to avoid the cost of incurring the taxes, </w:t>
      </w:r>
      <w:r w:rsidR="00F72546">
        <w:t>penalties</w:t>
      </w:r>
      <w:r w:rsidR="00AD565B">
        <w:t>, or dependence on the percentage of water that would be reduced through rationing or restriction. Enforcing and administering these regulations often come at a large cost</w:t>
      </w:r>
      <w:r w:rsidR="00937FA9">
        <w:t xml:space="preserve"> to the overseeing institution</w:t>
      </w:r>
      <w:r w:rsidR="00D56C88">
        <w:t xml:space="preserve">, and </w:t>
      </w:r>
      <w:r w:rsidR="00AD565B">
        <w:t xml:space="preserve">regulations </w:t>
      </w:r>
      <w:r w:rsidR="00D56C88">
        <w:t xml:space="preserve">may </w:t>
      </w:r>
      <w:r w:rsidR="00AD565B">
        <w:t>also disproportionally</w:t>
      </w:r>
      <w:r w:rsidR="00937FA9">
        <w:t xml:space="preserve"> impact certain water users.</w:t>
      </w:r>
    </w:p>
    <w:p w14:paraId="4810DFAE" w14:textId="652DBBF6" w:rsidR="00937FA9" w:rsidRDefault="00937FA9" w:rsidP="00937FA9">
      <w:r>
        <w:t xml:space="preserve">Another alternative is </w:t>
      </w:r>
      <w:r w:rsidR="00F72546">
        <w:t>for the water distributors to adjust water prices to better reflect the value to the user</w:t>
      </w:r>
      <w:r>
        <w:t xml:space="preserve">. </w:t>
      </w:r>
      <w:r w:rsidR="00F72546">
        <w:t xml:space="preserve">For example, under such a scenario, the cost of water per unit rises with increasing volumes used. The price of water </w:t>
      </w:r>
      <w:r>
        <w:t>can provide a powerful incentive to conserve, but water retailers in California are limited in t</w:t>
      </w:r>
      <w:r w:rsidR="00C07317">
        <w:t>heir ability to adjust prices due to</w:t>
      </w:r>
      <w:r>
        <w:t xml:space="preserve"> legal, financial and political considerations. </w:t>
      </w:r>
      <w:r w:rsidR="00F72546">
        <w:t xml:space="preserve">A substitute to managing demand through pricing is then is to </w:t>
      </w:r>
      <w:r w:rsidR="00DF236E">
        <w:t xml:space="preserve">encourage </w:t>
      </w:r>
      <w:r w:rsidR="00F72546">
        <w:t xml:space="preserve">changes in behavior through subsidization. Agencies </w:t>
      </w:r>
      <w:r>
        <w:t xml:space="preserve">offer rebates for </w:t>
      </w:r>
      <w:r w:rsidR="005D1F45">
        <w:t xml:space="preserve">customers who replace lawns with drought-tolerant landscaping or purchase </w:t>
      </w:r>
      <w:r>
        <w:t>efficient toilets and showerheads</w:t>
      </w:r>
      <w:r w:rsidR="005D1F45">
        <w:t>.</w:t>
      </w:r>
      <w:r w:rsidR="00F72546">
        <w:t xml:space="preserve"> Demand is then reduced, but at lit</w:t>
      </w:r>
      <w:r w:rsidR="00C07317">
        <w:t>tle to no</w:t>
      </w:r>
      <w:r w:rsidR="00F72546">
        <w:t xml:space="preserve"> cost to the end user.</w:t>
      </w:r>
    </w:p>
    <w:p w14:paraId="5FE5C1A1" w14:textId="747ED741" w:rsidR="00D56C88" w:rsidRDefault="00937FA9" w:rsidP="002832B1">
      <w:r w:rsidRPr="00226191">
        <w:t xml:space="preserve">Water markets are </w:t>
      </w:r>
      <w:r w:rsidR="005D1F45">
        <w:t>one in</w:t>
      </w:r>
      <w:r w:rsidR="00C07317">
        <w:t>centive-based solution that has</w:t>
      </w:r>
      <w:r w:rsidR="005D1F45">
        <w:t xml:space="preserve"> received a growing amount of attention across the West</w:t>
      </w:r>
      <w:r w:rsidRPr="00226191">
        <w:t xml:space="preserve">. </w:t>
      </w:r>
      <w:r>
        <w:t>In a market system,</w:t>
      </w:r>
      <w:r w:rsidR="00D56C88">
        <w:t xml:space="preserve"> users who find effici</w:t>
      </w:r>
      <w:r>
        <w:t xml:space="preserve">encies and reduce their use are </w:t>
      </w:r>
      <w:r w:rsidR="00C07317">
        <w:t>able to sell the generated surplus</w:t>
      </w:r>
      <w:r w:rsidR="00D56C88">
        <w:t>, and those users who consume more do so at a</w:t>
      </w:r>
      <w:r>
        <w:t xml:space="preserve"> cost that better reflects the value of the resource.</w:t>
      </w:r>
      <w:r w:rsidR="005D1F45">
        <w:t xml:space="preserve"> Markets</w:t>
      </w:r>
      <w:r w:rsidR="00D56C88">
        <w:t xml:space="preserve"> match buyers and sellers and allow the resource to be more efficiently directed to the demand</w:t>
      </w:r>
      <w:r w:rsidR="00C07317">
        <w:t>s of participants in the market, but in a market system, the supply must be limited, and sellers must have a secure and transferable privilege to water.</w:t>
      </w:r>
    </w:p>
    <w:p w14:paraId="31B74FFD" w14:textId="4114DE36" w:rsidR="00B821C6" w:rsidRDefault="00B821C6" w:rsidP="002832B1">
      <w:r w:rsidRPr="00226191">
        <w:lastRenderedPageBreak/>
        <w:t xml:space="preserve">Similar to markets for pollution emissions, water markets allow agencies with low marginal costs of conservation to benefit from selling their conserved water to other agencies, </w:t>
      </w:r>
      <w:proofErr w:type="gramStart"/>
      <w:r w:rsidRPr="00226191">
        <w:t>who</w:t>
      </w:r>
      <w:proofErr w:type="gramEnd"/>
      <w:r w:rsidRPr="00226191">
        <w:t xml:space="preserve"> also benefit because the market price of water may be less than their own cost of conservation.</w:t>
      </w:r>
      <w:r>
        <w:t xml:space="preserve"> </w:t>
      </w:r>
      <w:r w:rsidR="00D56C88">
        <w:t>In a market for conserved water, the seller makes water available by decreasing their need for water. For example, a municipal water</w:t>
      </w:r>
      <w:r>
        <w:t xml:space="preserve"> agency</w:t>
      </w:r>
      <w:r w:rsidR="00D56C88">
        <w:t xml:space="preserve"> may implement a turf replacement program. They </w:t>
      </w:r>
      <w:r w:rsidR="00C07317">
        <w:t xml:space="preserve">can </w:t>
      </w:r>
      <w:r>
        <w:t>then sell the water to another agency</w:t>
      </w:r>
      <w:r w:rsidR="00D56C88">
        <w:t xml:space="preserve"> at a price tha</w:t>
      </w:r>
      <w:r>
        <w:t>t is (hopefully) higher than their</w:t>
      </w:r>
      <w:r w:rsidR="00D56C88">
        <w:t xml:space="preserve"> cost to conserve the water; this profit motive creates an incentive for further conservation. </w:t>
      </w:r>
      <w:r>
        <w:t>The purchasing agency benefits as well, since the market price of water may be lower than their marginal cost of conservation.</w:t>
      </w:r>
    </w:p>
    <w:p w14:paraId="270D348A" w14:textId="60846C42" w:rsidR="00D56C88" w:rsidRDefault="00D56C88" w:rsidP="002832B1">
      <w:r>
        <w:t>Water users with a low marginal cost of conservation will tend to be sellers in the marketplace; those with higher marginal costs will tend to be buyers. Much like cap and trade markets for pollution emission credits, the water market efficiently allocates conservation to those who can most afford to conserve, and it encourages conservation by every user over the long run.</w:t>
      </w:r>
    </w:p>
    <w:p w14:paraId="68A712F5" w14:textId="25147065" w:rsidR="00EB31FE" w:rsidRDefault="00D56C88" w:rsidP="009C3004">
      <w:pPr>
        <w:sectPr w:rsidR="00EB31FE" w:rsidSect="00C655BD">
          <w:footerReference w:type="default" r:id="rId20"/>
          <w:endnotePr>
            <w:numFmt w:val="decimal"/>
          </w:endnotePr>
          <w:pgSz w:w="12240" w:h="15840"/>
          <w:pgMar w:top="1800" w:right="1800" w:bottom="1800" w:left="2160" w:header="720" w:footer="720" w:gutter="0"/>
          <w:cols w:space="720"/>
        </w:sectPr>
      </w:pPr>
      <w:r>
        <w:t xml:space="preserve">A potential new </w:t>
      </w:r>
      <w:r w:rsidR="009C3004">
        <w:t>way to manage water in</w:t>
      </w:r>
      <w:r>
        <w:t xml:space="preserve"> California would be the creation of an urban-to-urban market for conserved water. </w:t>
      </w:r>
      <w:r w:rsidR="00B821C6" w:rsidRPr="00226191">
        <w:t>The Metropolitan Water District of Southern California service ar</w:t>
      </w:r>
      <w:r w:rsidR="009C3004">
        <w:t>ea represents an ideal platform</w:t>
      </w:r>
      <w:r w:rsidR="00B821C6" w:rsidRPr="00226191">
        <w:t xml:space="preserve"> for such a market because its member agencies share a robust </w:t>
      </w:r>
      <w:r w:rsidR="009C3004">
        <w:t xml:space="preserve">accounting system </w:t>
      </w:r>
      <w:r w:rsidR="00B821C6" w:rsidRPr="00226191">
        <w:t>and interconnected water</w:t>
      </w:r>
      <w:r w:rsidR="009C3004">
        <w:t xml:space="preserve"> infrast</w:t>
      </w:r>
      <w:r w:rsidR="001C5748">
        <w:t>ructure. Therefore, trades could occur as</w:t>
      </w:r>
      <w:r w:rsidR="00B821C6" w:rsidRPr="00226191">
        <w:t xml:space="preserve"> transfers of </w:t>
      </w:r>
      <w:r w:rsidR="00AE6EBF">
        <w:t>allocations</w:t>
      </w:r>
      <w:r w:rsidR="001C5748">
        <w:t>. The transfers would then be reported to Met, who would distribute the appropriate quantities of water accordingly,</w:t>
      </w:r>
      <w:r w:rsidR="00B821C6" w:rsidRPr="00226191">
        <w:t xml:space="preserve"> </w:t>
      </w:r>
      <w:r w:rsidR="009C3004">
        <w:t xml:space="preserve">keeping transaction costs low. </w:t>
      </w:r>
      <w:r w:rsidR="00D35C3A">
        <w:t>S</w:t>
      </w:r>
      <w:r w:rsidR="00B46054">
        <w:t>uch an approach</w:t>
      </w:r>
      <w:r w:rsidR="00B821C6" w:rsidRPr="00226191">
        <w:t xml:space="preserve"> </w:t>
      </w:r>
      <w:r w:rsidR="00B46054">
        <w:t xml:space="preserve">could serve as an exemplary model </w:t>
      </w:r>
      <w:r w:rsidR="00B821C6" w:rsidRPr="00226191">
        <w:t>of</w:t>
      </w:r>
      <w:r w:rsidR="00B46054">
        <w:t xml:space="preserve"> how to establish a large-scale</w:t>
      </w:r>
      <w:r w:rsidR="00B821C6" w:rsidRPr="00226191">
        <w:t xml:space="preserve"> urban-to-urban water </w:t>
      </w:r>
      <w:r w:rsidR="009C3004">
        <w:t>conservation market</w:t>
      </w:r>
      <w:bookmarkStart w:id="31" w:name="_Toc411777911"/>
      <w:bookmarkEnd w:id="31"/>
      <w:r w:rsidR="009C3004">
        <w:t>.</w:t>
      </w:r>
    </w:p>
    <w:p w14:paraId="7F946870" w14:textId="1C119237" w:rsidR="00FF307F" w:rsidRDefault="00FD0AD2" w:rsidP="002832B1">
      <w:pPr>
        <w:pStyle w:val="Heading1"/>
      </w:pPr>
      <w:bookmarkStart w:id="32" w:name="_Toc416611298"/>
      <w:r>
        <w:lastRenderedPageBreak/>
        <w:t>M</w:t>
      </w:r>
      <w:r w:rsidR="0033293C">
        <w:t>ethods</w:t>
      </w:r>
      <w:bookmarkEnd w:id="32"/>
    </w:p>
    <w:p w14:paraId="147ADBE2" w14:textId="765590E5" w:rsidR="006A3664" w:rsidRDefault="006A3664" w:rsidP="006A3664">
      <w:r>
        <w:t xml:space="preserve">Below we discuss the methods used to answer the two research questions described in Section </w:t>
      </w:r>
      <w:r>
        <w:fldChar w:fldCharType="begin"/>
      </w:r>
      <w:r>
        <w:instrText xml:space="preserve"> REF _Ref411879990 \r \h </w:instrText>
      </w:r>
      <w:r>
        <w:fldChar w:fldCharType="separate"/>
      </w:r>
      <w:r>
        <w:t>1.1</w:t>
      </w:r>
      <w:r>
        <w:fldChar w:fldCharType="end"/>
      </w:r>
      <w:r>
        <w:t>.</w:t>
      </w:r>
    </w:p>
    <w:p w14:paraId="4852345C" w14:textId="77777777" w:rsidR="006A3664" w:rsidRDefault="006A3664" w:rsidP="006A3664">
      <w:pPr>
        <w:pStyle w:val="Heading2"/>
      </w:pPr>
      <w:bookmarkStart w:id="33" w:name="_Toc416611299"/>
      <w:r w:rsidRPr="00AA5E98">
        <w:t>Q</w:t>
      </w:r>
      <w:r>
        <w:t>uestion 1: Analyzing the Status Quo</w:t>
      </w:r>
      <w:bookmarkEnd w:id="33"/>
    </w:p>
    <w:p w14:paraId="14AF7D4C" w14:textId="77777777" w:rsidR="006A3664" w:rsidRPr="002832B1" w:rsidRDefault="006A3664" w:rsidP="006A3664">
      <w:pPr>
        <w:rPr>
          <w:i/>
        </w:rPr>
      </w:pPr>
      <w:r w:rsidRPr="002832B1">
        <w:rPr>
          <w:i/>
        </w:rPr>
        <w:t>How do an agency’s conservation efforts affect how much water they can purchase from Met under the current system of water distribution, particularly in times of drought?</w:t>
      </w:r>
    </w:p>
    <w:p w14:paraId="2B669837" w14:textId="77777777" w:rsidR="006A3664" w:rsidRDefault="006A3664" w:rsidP="006A3664">
      <w:r>
        <w:t xml:space="preserve">In order to understand how the conservation efforts of the Long Beach Water Department affect their water allocation, we examined Met’s current Water Supply Allocation Plan. </w:t>
      </w:r>
    </w:p>
    <w:p w14:paraId="19EA3406" w14:textId="238A60C9" w:rsidR="006A3664" w:rsidRDefault="006A3664" w:rsidP="006A3664">
      <w:r>
        <w:t xml:space="preserve">We obtained an Excel spreadsheet version of Met’s 2015 WSAP formulas from the Long Beach Water Department. The WSAP spreadsheet we </w:t>
      </w:r>
      <w:r w:rsidR="00C866DF">
        <w:t>acquired</w:t>
      </w:r>
      <w:r>
        <w:t xml:space="preserve"> was prepopulated with preliminary estimates</w:t>
      </w:r>
      <w:r>
        <w:rPr>
          <w:rStyle w:val="EndnoteReference"/>
        </w:rPr>
        <w:endnoteReference w:id="18"/>
      </w:r>
      <w:r>
        <w:t xml:space="preserve"> for each Met member agency’s water demand, population, </w:t>
      </w:r>
      <w:r w:rsidR="00C866DF">
        <w:t xml:space="preserve">water use (in </w:t>
      </w:r>
      <w:proofErr w:type="spellStart"/>
      <w:r>
        <w:t>gpcd</w:t>
      </w:r>
      <w:proofErr w:type="spellEnd"/>
      <w:r w:rsidR="00C866DF">
        <w:t>)</w:t>
      </w:r>
      <w:r>
        <w:t xml:space="preserve">, and factors relevant to determining allocation under the WSAP. The values </w:t>
      </w:r>
      <w:r w:rsidR="00F01FD3">
        <w:t>provided in the WSAP serve as</w:t>
      </w:r>
      <w:r>
        <w:t xml:space="preserve"> an approximation for how water would be allocated under the status quo should a shortage be declared in 2015.</w:t>
      </w:r>
    </w:p>
    <w:p w14:paraId="48DA8CF1" w14:textId="77777777" w:rsidR="006A3664" w:rsidRDefault="006A3664" w:rsidP="006A3664">
      <w:r w:rsidRPr="00B82BFE">
        <w:t>The WSAP sprea</w:t>
      </w:r>
      <w:r>
        <w:t xml:space="preserve">dsheet makes it possible to </w:t>
      </w:r>
      <w:r w:rsidRPr="00B82BFE">
        <w:t>examine allocation volumes for differ</w:t>
      </w:r>
      <w:r>
        <w:t>ent</w:t>
      </w:r>
      <w:r w:rsidRPr="00B82BFE">
        <w:t xml:space="preserve"> shortage</w:t>
      </w:r>
      <w:r>
        <w:t xml:space="preserve"> severity levels</w:t>
      </w:r>
      <w:r w:rsidRPr="00B82BFE">
        <w:t>.</w:t>
      </w:r>
      <w:r>
        <w:t xml:space="preserve"> The shortage level indicates a corresponding percent reduction to an agency’s allocation. Each increment in shortage level represents a 5% decrease in allocation. A level </w:t>
      </w:r>
      <w:proofErr w:type="gramStart"/>
      <w:r>
        <w:t>2 shortage</w:t>
      </w:r>
      <w:proofErr w:type="gramEnd"/>
      <w:r>
        <w:t xml:space="preserve"> (10% reduction) was selected as the baseline for comparison based on the projected shortage level for 2015 announced by Met at the time of this analysis.</w:t>
      </w:r>
      <w:r>
        <w:rPr>
          <w:rStyle w:val="EndnoteReference"/>
        </w:rPr>
        <w:endnoteReference w:id="19"/>
      </w:r>
      <w:r>
        <w:t xml:space="preserve"> Although the WSAP accounts for all water needs by an agency, our analysis focuses on only municipal and industrial (M&amp;I) allocations, assuming seawater barrier and replenishment water demands are not uses where conservation could be pursued. </w:t>
      </w:r>
    </w:p>
    <w:p w14:paraId="035DCD53" w14:textId="77777777" w:rsidR="006A3664" w:rsidRDefault="006A3664" w:rsidP="006A3664">
      <w:r>
        <w:t>The WSAP spreadsheet was then used to model hypothetical increases and decreases in conservation at an individual agency level to simulate how these changes in behavior would alter allocations. Then the cumulative effect of increased and decreased conservation by multiple agencies to the Met system as a whole was also modeled. The hypothetical scenario allocations were then compared to allocations for existing conditions.</w:t>
      </w:r>
    </w:p>
    <w:p w14:paraId="409A9F7A" w14:textId="77777777" w:rsidR="006A3664" w:rsidRPr="009E1576" w:rsidRDefault="006A3664" w:rsidP="006A3664">
      <w:pPr>
        <w:pStyle w:val="Heading3"/>
      </w:pPr>
      <w:r w:rsidRPr="00FF307F">
        <w:lastRenderedPageBreak/>
        <w:t>Individual Agency Behavior Scenario Modeling</w:t>
      </w:r>
    </w:p>
    <w:p w14:paraId="06E4D940" w14:textId="77777777" w:rsidR="006A3664" w:rsidRDefault="006A3664" w:rsidP="006A3664">
      <w:r>
        <w:t>To examine the effects of conservation on water allocation at the individual agency level, we selected three agencies with high, medium, and low per capita usage (</w:t>
      </w:r>
      <w:proofErr w:type="spellStart"/>
      <w:r>
        <w:t>gpcd</w:t>
      </w:r>
      <w:proofErr w:type="spellEnd"/>
      <w:r>
        <w:t>, or gallons per capita per day) to test how allocations may differ according to water usage.</w:t>
      </w:r>
    </w:p>
    <w:p w14:paraId="146F1C22" w14:textId="0EAFC861" w:rsidR="006A3664" w:rsidRDefault="006A3664" w:rsidP="006A3664">
      <w:r>
        <w:t xml:space="preserve">The system-wide average for Met is 168 </w:t>
      </w:r>
      <w:proofErr w:type="spellStart"/>
      <w:r>
        <w:t>gpcd</w:t>
      </w:r>
      <w:proofErr w:type="spellEnd"/>
      <w:r>
        <w:t>.</w:t>
      </w:r>
      <w:r>
        <w:rPr>
          <w:rStyle w:val="EndnoteReference"/>
        </w:rPr>
        <w:endnoteReference w:id="20"/>
      </w:r>
      <w:r>
        <w:t xml:space="preserve"> LBWD, with a </w:t>
      </w:r>
      <w:proofErr w:type="spellStart"/>
      <w:r>
        <w:t>gpcd</w:t>
      </w:r>
      <w:proofErr w:type="spellEnd"/>
      <w:r>
        <w:t xml:space="preserve"> of 111, was selected to represent a low </w:t>
      </w:r>
      <w:proofErr w:type="spellStart"/>
      <w:r>
        <w:t>gpcd</w:t>
      </w:r>
      <w:proofErr w:type="spellEnd"/>
      <w:r>
        <w:t xml:space="preserve"> agency, the Municipal Water District of Orange County (MWDOC) at 169 </w:t>
      </w:r>
      <w:proofErr w:type="spellStart"/>
      <w:r>
        <w:t>gpcd</w:t>
      </w:r>
      <w:proofErr w:type="spellEnd"/>
      <w:r>
        <w:t xml:space="preserve"> was selected to represent an average </w:t>
      </w:r>
      <w:proofErr w:type="spellStart"/>
      <w:r>
        <w:t>gpcd</w:t>
      </w:r>
      <w:proofErr w:type="spellEnd"/>
      <w:r>
        <w:t xml:space="preserve"> agency, and Eastern Municipal Water District (EMWD) at 235 </w:t>
      </w:r>
      <w:proofErr w:type="spellStart"/>
      <w:r>
        <w:t>gpcd</w:t>
      </w:r>
      <w:proofErr w:type="spellEnd"/>
      <w:r>
        <w:t xml:space="preserve"> was selected as a high </w:t>
      </w:r>
      <w:proofErr w:type="spellStart"/>
      <w:r>
        <w:t>gpcd</w:t>
      </w:r>
      <w:proofErr w:type="spellEnd"/>
      <w:r>
        <w:t xml:space="preserve"> agency. For each agency-type, the WSAP allocation was calculated for a hypothetical 10% increase and 10% decrease in retail demand from the existing condition scenario.</w:t>
      </w:r>
    </w:p>
    <w:p w14:paraId="0596FA74" w14:textId="77777777" w:rsidR="006A3664" w:rsidRPr="002832B1" w:rsidRDefault="006A3664" w:rsidP="006A3664">
      <w:pPr>
        <w:pStyle w:val="Heading3"/>
      </w:pPr>
      <w:r w:rsidRPr="002832B1">
        <w:t>Met System-Wide Behavior Scenario Modeling</w:t>
      </w:r>
    </w:p>
    <w:p w14:paraId="0C12ED2A" w14:textId="77777777" w:rsidR="006A3664" w:rsidRDefault="006A3664" w:rsidP="006A3664">
      <w:pPr>
        <w:rPr>
          <w:lang w:eastAsia="ja-JP"/>
        </w:rPr>
      </w:pPr>
      <w:r>
        <w:rPr>
          <w:lang w:eastAsia="ja-JP"/>
        </w:rPr>
        <w:t>We simulated the impacts that an aggregate increase or decrease in water demand would have on the WSAP shortage level, in order to observe how region-wide changes in demand affect both conservation behavior and the supply available to the overall Met system as a whole.</w:t>
      </w:r>
    </w:p>
    <w:p w14:paraId="4D212080" w14:textId="77777777" w:rsidR="006A3664" w:rsidRDefault="006A3664" w:rsidP="006A3664">
      <w:r>
        <w:t xml:space="preserve">For these scenarios, agencies with a </w:t>
      </w:r>
      <w:proofErr w:type="spellStart"/>
      <w:r>
        <w:t>gpcd</w:t>
      </w:r>
      <w:proofErr w:type="spellEnd"/>
      <w:r w:rsidRPr="00E118F6">
        <w:t xml:space="preserve"> </w:t>
      </w:r>
      <w:r>
        <w:t xml:space="preserve">over 225 were selected to simulate conservation efforts. These agencies (Test Agencies) include the City of Beverly Hills, Eastern Municipal Water District, Inland Empire Utilities Agency, Las </w:t>
      </w:r>
      <w:proofErr w:type="spellStart"/>
      <w:r>
        <w:t>Virgenes</w:t>
      </w:r>
      <w:proofErr w:type="spellEnd"/>
      <w:r>
        <w:t xml:space="preserve"> Municipal Water District, City of San Marino, and Western Municipal Water District of Riverside County.</w:t>
      </w:r>
    </w:p>
    <w:p w14:paraId="0AE8A9D7" w14:textId="77777777" w:rsidR="006A3664" w:rsidRDefault="006A3664" w:rsidP="006A3664">
      <w:pPr>
        <w:rPr>
          <w:lang w:eastAsia="ja-JP"/>
        </w:rPr>
      </w:pPr>
      <w:r>
        <w:t xml:space="preserve">Our selected test agencies do not necessarily indicate that these agencies should or are likely to increase conservation. Test agencies were selected solely due to the structure of the Excel spreadsheet and the ease by which multiple sensitivity analyses could be quickly performed by applying an Excel formula. </w:t>
      </w:r>
    </w:p>
    <w:p w14:paraId="1AC860B2" w14:textId="77777777" w:rsidR="006A3664" w:rsidRPr="009C7651" w:rsidRDefault="006A3664" w:rsidP="006A3664">
      <w:pPr>
        <w:pStyle w:val="Heading4"/>
      </w:pPr>
      <w:r>
        <w:t xml:space="preserve">Aggressive </w:t>
      </w:r>
      <w:r w:rsidRPr="009C7651">
        <w:t>Conservation Scenario</w:t>
      </w:r>
    </w:p>
    <w:p w14:paraId="14323A00" w14:textId="77777777" w:rsidR="006A3664" w:rsidRDefault="006A3664" w:rsidP="006A3664">
      <w:r>
        <w:t>The “aggressive conservation”</w:t>
      </w:r>
      <w:r w:rsidRPr="00E118F6">
        <w:t xml:space="preserve"> scenario </w:t>
      </w:r>
      <w:r>
        <w:t xml:space="preserve">simulates what would happen if the Test Agencies increased their conservation efforts from the existing condition. </w:t>
      </w:r>
    </w:p>
    <w:p w14:paraId="65E7C15A" w14:textId="77777777" w:rsidR="006A3664" w:rsidRPr="00961350" w:rsidRDefault="006A3664" w:rsidP="006A3664">
      <w:proofErr w:type="gramStart"/>
      <w:r>
        <w:t>The conservation increase was simulated by decreasing the Test Agencies’ water demands such that total demand from Met would now only exceed supply by 5% rather than 10%</w:t>
      </w:r>
      <w:proofErr w:type="gramEnd"/>
      <w:r>
        <w:t xml:space="preserve">. This means that the WSAP shortage severity level can be </w:t>
      </w:r>
      <w:r>
        <w:lastRenderedPageBreak/>
        <w:t xml:space="preserve">downgraded from level 2 to level 1. Under this scenario, if the shortage level </w:t>
      </w:r>
      <w:proofErr w:type="gramStart"/>
      <w:r>
        <w:t>was</w:t>
      </w:r>
      <w:proofErr w:type="gramEnd"/>
      <w:r>
        <w:t xml:space="preserve"> left at level 2, 5% of the available Met supply would not be allocated. A </w:t>
      </w:r>
      <w:proofErr w:type="spellStart"/>
      <w:r>
        <w:t>gpcd</w:t>
      </w:r>
      <w:proofErr w:type="spellEnd"/>
      <w:r>
        <w:t xml:space="preserve"> reduction of 14.7% was the level of conservation used to retain the same amount of water allocated by Met with a level 1 shortage as the amount of water that would have been allocated under level 2 </w:t>
      </w:r>
      <w:proofErr w:type="gramStart"/>
      <w:r>
        <w:t>shortage</w:t>
      </w:r>
      <w:proofErr w:type="gramEnd"/>
      <w:r>
        <w:t xml:space="preserve"> without the additional conservation. Maintaining consistent Met total supply quantities was necessary to properly compare individual agency allocations between the aggressive conservation scenario and the existing conditions scenario.</w:t>
      </w:r>
    </w:p>
    <w:p w14:paraId="06F1921C" w14:textId="77777777" w:rsidR="006A3664" w:rsidRPr="005C7519" w:rsidRDefault="006A3664" w:rsidP="006A3664">
      <w:pPr>
        <w:pStyle w:val="Heading4"/>
      </w:pPr>
      <w:r>
        <w:t xml:space="preserve">Increased Use </w:t>
      </w:r>
      <w:r w:rsidRPr="005C7519">
        <w:t>Scenario</w:t>
      </w:r>
    </w:p>
    <w:p w14:paraId="7C7EEBAC" w14:textId="77777777" w:rsidR="006A3664" w:rsidRDefault="006A3664" w:rsidP="006A3664">
      <w:r>
        <w:t>The “increased use”</w:t>
      </w:r>
      <w:r w:rsidRPr="00E118F6">
        <w:t xml:space="preserve"> scenario </w:t>
      </w:r>
      <w:r>
        <w:t>simulates what would happen if the same Test Agencies as under the “aggressive conservation” scenario had increased demand rather than decreased use through conservation efforts. Water demand for the Test Agencies was increased by 13.5% to retain the same amount of water allocated by Met under shortage level 3 as would be allocated with a level 2 shortage without the increased use. As with the aggressive conservation scenario comparisons, maintaining consistent Met total supply quantities was necessary to properly compare individual agency allocations between the increased use scenario and the existing conditions scenario.</w:t>
      </w:r>
    </w:p>
    <w:p w14:paraId="2C242BD5" w14:textId="77777777" w:rsidR="006A3664" w:rsidRDefault="006A3664" w:rsidP="006A3664">
      <w:pPr>
        <w:pStyle w:val="Heading3"/>
      </w:pPr>
      <w:r>
        <w:t>Conservation Demand Hardening Adjustment</w:t>
      </w:r>
    </w:p>
    <w:p w14:paraId="02B25815" w14:textId="77777777" w:rsidR="006A3664" w:rsidRDefault="006A3664" w:rsidP="006A3664">
      <w:r>
        <w:t>Our final review of the WSAP compares how much water agencies have conserved against the conservation credit value that is given by the WSAP for conservation demand hardening. Conservation hardening refers to the ability of an agency to conserve, in light of past conservation efforts already completed. The more conservation an agency has conducted, the more difficult it is for an agency to conserve. The WSAP includes a conservation demand hardening to adjust an agency’s allocation. We compared the amount of water an agency has conserved to the amount of allocation adjustment credit given by the WSAP for each of the ten WSAP shortage levels and reviewed the results for individual agencies and from a Met system-wide perspective.</w:t>
      </w:r>
    </w:p>
    <w:p w14:paraId="0EE9DEF8" w14:textId="77777777" w:rsidR="006A3664" w:rsidRDefault="006A3664" w:rsidP="006A3664">
      <w:pPr>
        <w:pStyle w:val="Heading2"/>
      </w:pPr>
      <w:bookmarkStart w:id="34" w:name="_Toc416611300"/>
      <w:r>
        <w:t>Question 2: A New Way Forward</w:t>
      </w:r>
      <w:bookmarkEnd w:id="34"/>
    </w:p>
    <w:p w14:paraId="3D1B928F" w14:textId="16A6CC88" w:rsidR="006A3664" w:rsidRDefault="006A3664" w:rsidP="006A3664">
      <w:pPr>
        <w:rPr>
          <w:i/>
        </w:rPr>
      </w:pPr>
      <w:r w:rsidRPr="005741F1">
        <w:rPr>
          <w:i/>
        </w:rPr>
        <w:t>Can we develop a new allo</w:t>
      </w:r>
      <w:r w:rsidR="00DF236E">
        <w:rPr>
          <w:i/>
        </w:rPr>
        <w:t>cation system that promot</w:t>
      </w:r>
      <w:r w:rsidRPr="005741F1">
        <w:rPr>
          <w:i/>
        </w:rPr>
        <w:t>es conservation, and how would the new system compare to the current system?</w:t>
      </w:r>
    </w:p>
    <w:p w14:paraId="65D246D9" w14:textId="64389177" w:rsidR="006A3664" w:rsidRPr="004B1F71" w:rsidRDefault="006A3664" w:rsidP="006A3664">
      <w:r w:rsidRPr="004B1F71">
        <w:lastRenderedPageBreak/>
        <w:t xml:space="preserve">Examination of the status quo led us to identify two </w:t>
      </w:r>
      <w:r>
        <w:t>major factors in the WSAP that a</w:t>
      </w:r>
      <w:r w:rsidRPr="004B1F71">
        <w:t xml:space="preserve">ffect incentives for conservation. One factor relates to the baseline reference period from which an allocation is derived, and the other relates to the lack of a secure </w:t>
      </w:r>
      <w:r w:rsidR="0027242B">
        <w:t xml:space="preserve">use </w:t>
      </w:r>
      <w:r w:rsidRPr="004B1F71">
        <w:t>right associated with an allocation.</w:t>
      </w:r>
    </w:p>
    <w:p w14:paraId="4EF4D6F0" w14:textId="77777777" w:rsidR="006A3664" w:rsidRPr="000802A9" w:rsidRDefault="006A3664" w:rsidP="006A3664">
      <w:pPr>
        <w:rPr>
          <w:i/>
        </w:rPr>
      </w:pPr>
      <w:r>
        <w:t xml:space="preserve">We then examined alternative approaches to allocating water that might improve conservation incentives, and compared the results of those strategies with the WSAP analysis results. Three methods of allocation were explored: Preferential Rights, Modified Preferential Rights, and </w:t>
      </w:r>
      <w:proofErr w:type="spellStart"/>
      <w:r>
        <w:t>gpcd</w:t>
      </w:r>
      <w:proofErr w:type="spellEnd"/>
      <w:r>
        <w:t>-based Water Use Efficiency allocation. Descriptions and details on each of these approaches are provided in the Appendix.</w:t>
      </w:r>
    </w:p>
    <w:p w14:paraId="21E68271" w14:textId="77777777" w:rsidR="006A3664" w:rsidRDefault="006A3664" w:rsidP="006A3664">
      <w:pPr>
        <w:pStyle w:val="Heading3"/>
      </w:pPr>
      <w:r>
        <w:t xml:space="preserve">Developing the </w:t>
      </w:r>
      <w:proofErr w:type="spellStart"/>
      <w:r>
        <w:t>BrenSAP</w:t>
      </w:r>
      <w:proofErr w:type="spellEnd"/>
    </w:p>
    <w:p w14:paraId="2326E6F2" w14:textId="38C76B4A" w:rsidR="006A3664" w:rsidRPr="004B1F71" w:rsidRDefault="006A3664" w:rsidP="006A3664">
      <w:pPr>
        <w:rPr>
          <w:rFonts w:eastAsia="Times New Roman"/>
        </w:rPr>
      </w:pPr>
      <w:r w:rsidRPr="004B1F71">
        <w:rPr>
          <w:rFonts w:eastAsia="Times New Roman"/>
        </w:rPr>
        <w:t>After reviewing the pros and cons of each of the above allocation mechanisms, we develop</w:t>
      </w:r>
      <w:r>
        <w:rPr>
          <w:rFonts w:eastAsia="Times New Roman"/>
        </w:rPr>
        <w:t>ed</w:t>
      </w:r>
      <w:r w:rsidRPr="004B1F71">
        <w:rPr>
          <w:rFonts w:eastAsia="Times New Roman"/>
        </w:rPr>
        <w:t xml:space="preserve"> a new hybrid allocation system called </w:t>
      </w:r>
      <w:r w:rsidR="00B311F6">
        <w:rPr>
          <w:rFonts w:eastAsia="Times New Roman"/>
        </w:rPr>
        <w:t xml:space="preserve">the </w:t>
      </w:r>
      <w:proofErr w:type="spellStart"/>
      <w:r w:rsidRPr="00B311F6">
        <w:rPr>
          <w:rFonts w:eastAsia="Times New Roman"/>
        </w:rPr>
        <w:t>BrenSAP</w:t>
      </w:r>
      <w:proofErr w:type="spellEnd"/>
      <w:r w:rsidRPr="004B1F71">
        <w:rPr>
          <w:rFonts w:eastAsia="Times New Roman"/>
        </w:rPr>
        <w:t>. This method combines</w:t>
      </w:r>
      <w:r w:rsidR="00C866DF">
        <w:rPr>
          <w:rFonts w:eastAsia="Times New Roman"/>
        </w:rPr>
        <w:t xml:space="preserve"> historical use benchmarks, water use</w:t>
      </w:r>
      <w:r w:rsidRPr="004B1F71">
        <w:rPr>
          <w:rFonts w:eastAsia="Times New Roman"/>
        </w:rPr>
        <w:t xml:space="preserve"> targets</w:t>
      </w:r>
      <w:r w:rsidR="00C866DF">
        <w:rPr>
          <w:rFonts w:eastAsia="Times New Roman"/>
        </w:rPr>
        <w:t xml:space="preserve"> (in </w:t>
      </w:r>
      <w:proofErr w:type="spellStart"/>
      <w:r w:rsidR="00C866DF">
        <w:rPr>
          <w:rFonts w:eastAsia="Times New Roman"/>
        </w:rPr>
        <w:t>gpcd</w:t>
      </w:r>
      <w:proofErr w:type="spellEnd"/>
      <w:r w:rsidR="00C866DF">
        <w:rPr>
          <w:rFonts w:eastAsia="Times New Roman"/>
        </w:rPr>
        <w:t>)</w:t>
      </w:r>
      <w:r w:rsidRPr="004B1F71">
        <w:rPr>
          <w:rFonts w:eastAsia="Times New Roman"/>
        </w:rPr>
        <w:t xml:space="preserve">, and the assignment of shares with associated use rights to promote conservation and efficiently distribute water. The </w:t>
      </w:r>
      <w:proofErr w:type="spellStart"/>
      <w:r w:rsidRPr="004B1F71">
        <w:rPr>
          <w:rFonts w:eastAsia="Times New Roman"/>
        </w:rPr>
        <w:t>BrenSAP</w:t>
      </w:r>
      <w:proofErr w:type="spellEnd"/>
      <w:r w:rsidRPr="004B1F71">
        <w:rPr>
          <w:rFonts w:eastAsia="Times New Roman"/>
        </w:rPr>
        <w:t xml:space="preserve"> allocation process is described below.</w:t>
      </w:r>
    </w:p>
    <w:p w14:paraId="267686BE" w14:textId="77777777" w:rsidR="006A3664" w:rsidRPr="00C117FB" w:rsidRDefault="006A3664" w:rsidP="006A3664">
      <w:pPr>
        <w:pStyle w:val="Heading4"/>
      </w:pPr>
      <w:r>
        <w:t>Establish Benchmarks</w:t>
      </w:r>
    </w:p>
    <w:p w14:paraId="2C1BDCAC" w14:textId="77777777" w:rsidR="006A3664" w:rsidRDefault="006A3664" w:rsidP="006A3664">
      <w:pPr>
        <w:spacing w:after="200"/>
      </w:pPr>
      <w:r>
        <w:t xml:space="preserve">Historical benchmarks for each member agency’s water demand from Met were established based on agency </w:t>
      </w:r>
      <w:proofErr w:type="spellStart"/>
      <w:r>
        <w:t>gpcd</w:t>
      </w:r>
      <w:proofErr w:type="spellEnd"/>
      <w:r>
        <w:t xml:space="preserve"> and local supply contributions provided in the WSAP. WSAP benchmark </w:t>
      </w:r>
      <w:proofErr w:type="spellStart"/>
      <w:r>
        <w:t>gpcds</w:t>
      </w:r>
      <w:proofErr w:type="spellEnd"/>
      <w:r>
        <w:t xml:space="preserve"> are derived from a formula used by Met to determine historical demand based on a consecutive 10-year average, with an endpoint year between 2004 and 2010. For agencies that did not have benchmark </w:t>
      </w:r>
      <w:proofErr w:type="spellStart"/>
      <w:r>
        <w:t>gpcd’s</w:t>
      </w:r>
      <w:proofErr w:type="spellEnd"/>
      <w:r>
        <w:t xml:space="preserve"> provided in the WSAP, benchmark </w:t>
      </w:r>
      <w:proofErr w:type="spellStart"/>
      <w:r>
        <w:t>gpcd’s</w:t>
      </w:r>
      <w:proofErr w:type="spellEnd"/>
      <w:r>
        <w:t xml:space="preserve"> were assumed from 2010 </w:t>
      </w:r>
      <w:proofErr w:type="spellStart"/>
      <w:r>
        <w:t>gpcd</w:t>
      </w:r>
      <w:proofErr w:type="spellEnd"/>
      <w:r>
        <w:t xml:space="preserve"> data provided in that agency’s 2010 Urban Water Management Plan.</w:t>
      </w:r>
    </w:p>
    <w:p w14:paraId="43ED8E6C" w14:textId="77777777" w:rsidR="006A3664" w:rsidRPr="00C117FB" w:rsidRDefault="006A3664" w:rsidP="006A3664">
      <w:pPr>
        <w:pStyle w:val="Heading4"/>
      </w:pPr>
      <w:r>
        <w:t xml:space="preserve">Calculating </w:t>
      </w:r>
      <w:proofErr w:type="spellStart"/>
      <w:r>
        <w:t>BrenSAP</w:t>
      </w:r>
      <w:proofErr w:type="spellEnd"/>
      <w:r>
        <w:t xml:space="preserve"> Allocation</w:t>
      </w:r>
    </w:p>
    <w:p w14:paraId="0B7D9A35" w14:textId="77777777" w:rsidR="006A3664" w:rsidRDefault="006A3664" w:rsidP="006A3664">
      <w:pPr>
        <w:pStyle w:val="ListParagraph"/>
        <w:numPr>
          <w:ilvl w:val="0"/>
          <w:numId w:val="16"/>
        </w:numPr>
        <w:spacing w:after="200"/>
      </w:pPr>
      <w:r>
        <w:t xml:space="preserve">Calculate what each individual agency demand for Met water would be today if </w:t>
      </w:r>
      <w:proofErr w:type="spellStart"/>
      <w:r>
        <w:t>gpcd</w:t>
      </w:r>
      <w:proofErr w:type="spellEnd"/>
      <w:r>
        <w:t xml:space="preserve"> and local supply had not changed from benchmark</w:t>
      </w:r>
    </w:p>
    <w:p w14:paraId="6C9195FA" w14:textId="77777777" w:rsidR="006A3664" w:rsidRDefault="006A3664" w:rsidP="006A3664">
      <w:pPr>
        <w:pStyle w:val="ListParagraph"/>
        <w:spacing w:after="200"/>
      </w:pPr>
      <m:oMathPara>
        <m:oMath>
          <m:r>
            <w:rPr>
              <w:rFonts w:ascii="Cambria Math" w:hAnsi="Cambria Math"/>
            </w:rPr>
            <m:t>Benchmark Demand=</m:t>
          </m:r>
          <m:d>
            <m:dPr>
              <m:ctrlPr>
                <w:rPr>
                  <w:rFonts w:ascii="Cambria Math" w:hAnsi="Cambria Math"/>
                  <w:i/>
                </w:rPr>
              </m:ctrlPr>
            </m:dPr>
            <m:e>
              <m:r>
                <w:rPr>
                  <w:rFonts w:ascii="Cambria Math" w:hAnsi="Cambria Math"/>
                </w:rPr>
                <m:t>Benchmark GPCD × 2015 Population × conversion to AF</m:t>
              </m:r>
            </m:e>
          </m:d>
          <m:r>
            <w:rPr>
              <w:rFonts w:ascii="Cambria Math" w:hAnsi="Cambria Math"/>
            </w:rPr>
            <m:t xml:space="preserve"> – Benchmark Local Supply</m:t>
          </m:r>
        </m:oMath>
      </m:oMathPara>
    </w:p>
    <w:p w14:paraId="283396E7" w14:textId="77777777" w:rsidR="006A3664" w:rsidRDefault="006A3664" w:rsidP="006A3664">
      <w:pPr>
        <w:pStyle w:val="ListParagraph"/>
        <w:numPr>
          <w:ilvl w:val="0"/>
          <w:numId w:val="16"/>
        </w:numPr>
        <w:spacing w:after="200"/>
      </w:pPr>
      <w:r>
        <w:t>Sum all agency demand and calculate percentage for each agency relative to the total aggregate demand.</w:t>
      </w:r>
    </w:p>
    <w:p w14:paraId="5E30D1CA" w14:textId="77777777" w:rsidR="006A3664" w:rsidRDefault="006A3664" w:rsidP="006A3664">
      <w:pPr>
        <w:pStyle w:val="ListParagraph"/>
        <w:numPr>
          <w:ilvl w:val="0"/>
          <w:numId w:val="16"/>
        </w:numPr>
        <w:spacing w:after="200"/>
      </w:pPr>
      <w:r>
        <w:t>Multiply percentage share for each agency by the total available Met supply for the allocation year (2015).</w:t>
      </w:r>
    </w:p>
    <w:p w14:paraId="11ED233A" w14:textId="77777777" w:rsidR="006A3664" w:rsidRDefault="006A3664" w:rsidP="006A3664">
      <w:pPr>
        <w:pStyle w:val="Heading4"/>
      </w:pPr>
      <w:r w:rsidRPr="00C117FB">
        <w:lastRenderedPageBreak/>
        <w:t>Determining lifeline allocation, benchmark allocation, and surplus/deficit</w:t>
      </w:r>
    </w:p>
    <w:p w14:paraId="516D30AD" w14:textId="3927D2E2" w:rsidR="006A3664" w:rsidRDefault="006A3664" w:rsidP="006A3664">
      <w:r>
        <w:t xml:space="preserve">The </w:t>
      </w:r>
      <w:proofErr w:type="spellStart"/>
      <w:r>
        <w:t>BrenSAP</w:t>
      </w:r>
      <w:proofErr w:type="spellEnd"/>
      <w:r>
        <w:t xml:space="preserve"> partitions an agency’s allocation into tiers. The first tier, which we call the </w:t>
      </w:r>
      <w:r w:rsidRPr="00B311F6">
        <w:t>Lifeline Allocation</w:t>
      </w:r>
      <w:r>
        <w:t xml:space="preserve">, provides a minimum guaranteed allotment of water. This water would be available at the lowest cost and is intended to ensure a minimum allocation to satisfy basic agency water needs. The </w:t>
      </w:r>
      <w:proofErr w:type="spellStart"/>
      <w:r>
        <w:t>BrenSAP</w:t>
      </w:r>
      <w:proofErr w:type="spellEnd"/>
      <w:r>
        <w:t xml:space="preserve"> provide each agency with 100 </w:t>
      </w:r>
      <w:proofErr w:type="spellStart"/>
      <w:r>
        <w:t>gpcd</w:t>
      </w:r>
      <w:proofErr w:type="spellEnd"/>
      <w:r>
        <w:t xml:space="preserve"> of lifeline water. This amount was described as a minimum allocation target in the 20x2020 urban conservation legislation,</w:t>
      </w:r>
      <w:r>
        <w:rPr>
          <w:rStyle w:val="EndnoteReference"/>
        </w:rPr>
        <w:endnoteReference w:id="21"/>
      </w:r>
      <w:r>
        <w:t xml:space="preserve"> and is also already guaranteed to every agency by the existing WSAP.</w:t>
      </w:r>
      <w:r w:rsidR="008E5552">
        <w:rPr>
          <w:rStyle w:val="EndnoteReference"/>
        </w:rPr>
        <w:endnoteReference w:id="22"/>
      </w:r>
      <w:r>
        <w:t xml:space="preserve"> </w:t>
      </w:r>
    </w:p>
    <w:p w14:paraId="64F1370F" w14:textId="77777777" w:rsidR="006A3664" w:rsidRPr="00E257DA" w:rsidRDefault="006A3664" w:rsidP="006A3664">
      <w:r>
        <w:t xml:space="preserve">The next tier of </w:t>
      </w:r>
      <w:r w:rsidRPr="00B311F6">
        <w:t>Benchmark allocations</w:t>
      </w:r>
      <w:r>
        <w:t xml:space="preserve"> provides additional water for uses such as landscape irrigation, commercial, and industrial water. The Benchmark allocation provides water corresponding to the agency’s benchmark year water use rate, at a price reflective of the revenue requirements of Met. As with the WSAP, water demanded in excess of the benchmark allocation may be available, but that water would include a significant surcharge.</w:t>
      </w:r>
    </w:p>
    <w:p w14:paraId="14DA2EF7" w14:textId="77777777" w:rsidR="006A3664" w:rsidRDefault="006A3664" w:rsidP="006A3664">
      <w:pPr>
        <w:pStyle w:val="ListParagraph"/>
        <w:numPr>
          <w:ilvl w:val="0"/>
          <w:numId w:val="16"/>
        </w:numPr>
        <w:spacing w:after="200"/>
      </w:pPr>
      <w:r>
        <w:t>Lifeline demand is 100gpcd * 2015 population.</w:t>
      </w:r>
    </w:p>
    <w:p w14:paraId="11487E85" w14:textId="77777777" w:rsidR="006A3664" w:rsidRDefault="006A3664" w:rsidP="006A3664">
      <w:pPr>
        <w:pStyle w:val="ListParagraph"/>
        <w:numPr>
          <w:ilvl w:val="1"/>
          <w:numId w:val="16"/>
        </w:numPr>
        <w:spacing w:after="200"/>
      </w:pPr>
      <w:r>
        <w:t>Any local supplies for agency count towards satisfying lifeline demand first.</w:t>
      </w:r>
    </w:p>
    <w:p w14:paraId="252A5E0E" w14:textId="77777777" w:rsidR="006A3664" w:rsidRDefault="006A3664" w:rsidP="006A3664">
      <w:pPr>
        <w:pStyle w:val="ListParagraph"/>
        <w:numPr>
          <w:ilvl w:val="2"/>
          <w:numId w:val="16"/>
        </w:numPr>
        <w:spacing w:after="200"/>
      </w:pPr>
      <w:r>
        <w:t>If local supply exceeds lifeline demand, then no lifeline allocation from Met, and extra local supply carries over into determining benchmark allocation</w:t>
      </w:r>
    </w:p>
    <w:p w14:paraId="6566F93A" w14:textId="77777777" w:rsidR="006A3664" w:rsidRDefault="006A3664" w:rsidP="006A3664">
      <w:pPr>
        <w:pStyle w:val="ListParagraph"/>
        <w:numPr>
          <w:ilvl w:val="2"/>
          <w:numId w:val="16"/>
        </w:numPr>
        <w:spacing w:after="200"/>
      </w:pPr>
      <w:r>
        <w:t>If local supplies &lt; lifeline demand, then remaining lifeline demand is allocated by Met, regardless of share % determined allocation (step 3)</w:t>
      </w:r>
    </w:p>
    <w:p w14:paraId="3A74247A" w14:textId="77777777" w:rsidR="006A3664" w:rsidRDefault="006A3664" w:rsidP="006A3664">
      <w:pPr>
        <w:pStyle w:val="ListParagraph"/>
        <w:numPr>
          <w:ilvl w:val="0"/>
          <w:numId w:val="16"/>
        </w:numPr>
        <w:spacing w:after="200"/>
      </w:pPr>
      <w:r>
        <w:t>Benchmark allocation is total allocation calculated in step 3 minus lifeline allocation from step 4</w:t>
      </w:r>
    </w:p>
    <w:p w14:paraId="14A82035" w14:textId="77777777" w:rsidR="006A3664" w:rsidRDefault="006A3664" w:rsidP="006A3664">
      <w:pPr>
        <w:pStyle w:val="ListParagraph"/>
        <w:numPr>
          <w:ilvl w:val="1"/>
          <w:numId w:val="16"/>
        </w:numPr>
        <w:spacing w:after="200"/>
      </w:pPr>
      <w:r>
        <w:t>If an agency’s benchmark allocation is greater than their remaining demand, they have a surplus</w:t>
      </w:r>
    </w:p>
    <w:p w14:paraId="10E85A76" w14:textId="77777777" w:rsidR="006A3664" w:rsidRDefault="006A3664" w:rsidP="006A3664">
      <w:pPr>
        <w:pStyle w:val="ListParagraph"/>
        <w:numPr>
          <w:ilvl w:val="1"/>
          <w:numId w:val="16"/>
        </w:numPr>
        <w:spacing w:after="200"/>
      </w:pPr>
      <w:r>
        <w:t>If an agency’s benchmark allocation is less than their remaining demand (including negative), then they will have a deficit</w:t>
      </w:r>
    </w:p>
    <w:p w14:paraId="3CE3261A" w14:textId="77777777" w:rsidR="006A3664" w:rsidRDefault="006A3664" w:rsidP="006A3664">
      <w:pPr>
        <w:pStyle w:val="Heading4"/>
      </w:pPr>
      <w:r>
        <w:t xml:space="preserve">Comparison of </w:t>
      </w:r>
      <w:proofErr w:type="spellStart"/>
      <w:r>
        <w:t>BrenSAP</w:t>
      </w:r>
      <w:proofErr w:type="spellEnd"/>
      <w:r>
        <w:t xml:space="preserve"> Allocation to WSAP Allocation</w:t>
      </w:r>
    </w:p>
    <w:p w14:paraId="713986FD" w14:textId="77777777" w:rsidR="006A3664" w:rsidRDefault="006A3664" w:rsidP="006A3664">
      <w:r>
        <w:t xml:space="preserve">The WSAP allocations to agencies for all levels of shortage were documented. The </w:t>
      </w:r>
      <w:proofErr w:type="spellStart"/>
      <w:r>
        <w:t>BrenSAP</w:t>
      </w:r>
      <w:proofErr w:type="spellEnd"/>
      <w:r>
        <w:t xml:space="preserve"> model was then used to allocate the same total amount of water as would be available under each WSAP shortage level. The </w:t>
      </w:r>
      <w:proofErr w:type="spellStart"/>
      <w:r>
        <w:t>BrenSAP</w:t>
      </w:r>
      <w:proofErr w:type="spellEnd"/>
      <w:r>
        <w:t xml:space="preserve"> allocations were then compared to the WSAP allocations. </w:t>
      </w:r>
    </w:p>
    <w:p w14:paraId="46FC860E" w14:textId="77777777" w:rsidR="006A3664" w:rsidRDefault="006A3664" w:rsidP="006A3664">
      <w:r>
        <w:lastRenderedPageBreak/>
        <w:t xml:space="preserve">The following values were used to model the </w:t>
      </w:r>
      <w:proofErr w:type="spellStart"/>
      <w:r>
        <w:t>BrenSAP</w:t>
      </w:r>
      <w:proofErr w:type="spellEnd"/>
      <w:r>
        <w:t xml:space="preserve"> allocation:</w:t>
      </w:r>
    </w:p>
    <w:p w14:paraId="60AFA186" w14:textId="77777777" w:rsidR="006A3664" w:rsidRDefault="006A3664" w:rsidP="006A3664">
      <w:pPr>
        <w:pStyle w:val="ListParagraph"/>
        <w:numPr>
          <w:ilvl w:val="0"/>
          <w:numId w:val="34"/>
        </w:numPr>
      </w:pPr>
      <w:r w:rsidRPr="00A2125F">
        <w:t>Existing condition</w:t>
      </w:r>
      <w:r>
        <w:t xml:space="preserve"> </w:t>
      </w:r>
      <w:proofErr w:type="spellStart"/>
      <w:r>
        <w:t>gpcd</w:t>
      </w:r>
      <w:proofErr w:type="spellEnd"/>
      <w:r>
        <w:t xml:space="preserve"> for each agency was set to the same </w:t>
      </w:r>
      <w:proofErr w:type="spellStart"/>
      <w:r>
        <w:t>gpcd</w:t>
      </w:r>
      <w:proofErr w:type="spellEnd"/>
      <w:r>
        <w:t xml:space="preserve"> as used for the WSAP.</w:t>
      </w:r>
    </w:p>
    <w:p w14:paraId="4CD474BC" w14:textId="77777777" w:rsidR="006A3664" w:rsidRDefault="006A3664" w:rsidP="006A3664">
      <w:pPr>
        <w:pStyle w:val="ListParagraph"/>
        <w:numPr>
          <w:ilvl w:val="0"/>
          <w:numId w:val="34"/>
        </w:numPr>
      </w:pPr>
      <w:r>
        <w:t>Local supply quantities for each agency were retained from the benchmark year to the allocation year to explicitly compare the effects of conservation.</w:t>
      </w:r>
      <w:r w:rsidDel="005C33BA">
        <w:t xml:space="preserve"> </w:t>
      </w:r>
      <w:r>
        <w:t>.</w:t>
      </w:r>
    </w:p>
    <w:p w14:paraId="0D8F2F16" w14:textId="77777777" w:rsidR="006A3664" w:rsidRDefault="006A3664" w:rsidP="006A3664">
      <w:pPr>
        <w:pStyle w:val="ListParagraph"/>
        <w:numPr>
          <w:ilvl w:val="0"/>
          <w:numId w:val="34"/>
        </w:numPr>
      </w:pPr>
      <w:r>
        <w:t xml:space="preserve">Values from the WSAP were used for allocation year </w:t>
      </w:r>
      <w:proofErr w:type="spellStart"/>
      <w:r>
        <w:t>gpcd</w:t>
      </w:r>
      <w:proofErr w:type="spellEnd"/>
      <w:r>
        <w:t xml:space="preserve">, population, retail demand, and local supply to facilitate the comparison of the WSAP allocations to </w:t>
      </w:r>
      <w:proofErr w:type="spellStart"/>
      <w:r>
        <w:t>BrenSAP</w:t>
      </w:r>
      <w:proofErr w:type="spellEnd"/>
      <w:r>
        <w:t xml:space="preserve"> allocations. </w:t>
      </w:r>
    </w:p>
    <w:p w14:paraId="490E09DA" w14:textId="77777777" w:rsidR="006A3664" w:rsidRDefault="006A3664" w:rsidP="006A3664">
      <w:pPr>
        <w:pStyle w:val="Heading3"/>
      </w:pPr>
      <w:r>
        <w:t xml:space="preserve">Testing the </w:t>
      </w:r>
      <w:proofErr w:type="spellStart"/>
      <w:r>
        <w:t>BrenSAP</w:t>
      </w:r>
      <w:proofErr w:type="spellEnd"/>
    </w:p>
    <w:p w14:paraId="3A9CC624" w14:textId="77777777" w:rsidR="006A3664" w:rsidRDefault="006A3664" w:rsidP="006A3664">
      <w:r>
        <w:t xml:space="preserve">Similar to the analysis for the WSAP, the </w:t>
      </w:r>
      <w:proofErr w:type="spellStart"/>
      <w:r>
        <w:t>BrenSAP</w:t>
      </w:r>
      <w:proofErr w:type="spellEnd"/>
      <w:r>
        <w:t xml:space="preserve"> model was used to test the effects of an individual agency increasing or decreasing conservation as well as the cumulative effects of multiple agencies increasing or decreasing conservation. The same agencies were tested for the </w:t>
      </w:r>
      <w:proofErr w:type="spellStart"/>
      <w:r>
        <w:t>BrenSAP</w:t>
      </w:r>
      <w:proofErr w:type="spellEnd"/>
      <w:r>
        <w:t xml:space="preserve"> as for the WSAP so that a direct comparison could be made between the two. </w:t>
      </w:r>
    </w:p>
    <w:p w14:paraId="2B6A13AB" w14:textId="77777777" w:rsidR="006A3664" w:rsidRPr="009E1576" w:rsidRDefault="006A3664" w:rsidP="006A3664">
      <w:pPr>
        <w:pStyle w:val="Heading4"/>
      </w:pPr>
      <w:r w:rsidRPr="00FF307F">
        <w:t>Individual Agency Behavior Scenario Modeling</w:t>
      </w:r>
    </w:p>
    <w:p w14:paraId="1F8150A1" w14:textId="77777777" w:rsidR="006A3664" w:rsidRDefault="006A3664" w:rsidP="006A3664">
      <w:r>
        <w:t xml:space="preserve">The </w:t>
      </w:r>
      <w:proofErr w:type="gramStart"/>
      <w:r>
        <w:t xml:space="preserve">effects of conservation behavior on an individual agency’s </w:t>
      </w:r>
      <w:proofErr w:type="spellStart"/>
      <w:r>
        <w:t>BrenSAP</w:t>
      </w:r>
      <w:proofErr w:type="spellEnd"/>
      <w:r>
        <w:t xml:space="preserve"> allocation was</w:t>
      </w:r>
      <w:proofErr w:type="gramEnd"/>
      <w:r>
        <w:t xml:space="preserve"> modeled using the Long Beach Water Department (Long Beach) as an example. The allocation year </w:t>
      </w:r>
      <w:proofErr w:type="spellStart"/>
      <w:r>
        <w:t>gpcd</w:t>
      </w:r>
      <w:proofErr w:type="spellEnd"/>
      <w:r>
        <w:t xml:space="preserve"> for Long Beach was increased by 10% and decreased by 10% to simulate what would happen to the </w:t>
      </w:r>
      <w:proofErr w:type="spellStart"/>
      <w:r>
        <w:t>BrenSAP</w:t>
      </w:r>
      <w:proofErr w:type="spellEnd"/>
      <w:r>
        <w:t xml:space="preserve"> allocation for Long Beach if it had conserved more or less than existing conditions. The impacts to the Long Beach </w:t>
      </w:r>
      <w:proofErr w:type="spellStart"/>
      <w:r>
        <w:t>BrenSAP</w:t>
      </w:r>
      <w:proofErr w:type="spellEnd"/>
      <w:r>
        <w:t xml:space="preserve"> allocation for increased conservation, existing conditions, and increased use were all analyzed for shortage levels 0-10.</w:t>
      </w:r>
    </w:p>
    <w:p w14:paraId="3EFEEB3C" w14:textId="77777777" w:rsidR="006A3664" w:rsidRDefault="006A3664" w:rsidP="006A3664">
      <w:pPr>
        <w:pStyle w:val="Heading4"/>
      </w:pPr>
      <w:r w:rsidRPr="002832B1">
        <w:t>Met System-</w:t>
      </w:r>
      <w:r>
        <w:t>Wide Behavior Scenario Modeling</w:t>
      </w:r>
    </w:p>
    <w:p w14:paraId="54931FDB" w14:textId="77777777" w:rsidR="006A3664" w:rsidRDefault="006A3664" w:rsidP="006A3664">
      <w:r>
        <w:t xml:space="preserve">Agencies with a </w:t>
      </w:r>
      <w:proofErr w:type="spellStart"/>
      <w:r>
        <w:t>gpcd</w:t>
      </w:r>
      <w:proofErr w:type="spellEnd"/>
      <w:r>
        <w:t xml:space="preserve"> over 225, the same test agencies we tested in the WSAP analysis, were used to simulate the aggregate effects of multiple agency increases and decreases in conservation. As before, the </w:t>
      </w:r>
      <w:proofErr w:type="spellStart"/>
      <w:r>
        <w:t>gpcd</w:t>
      </w:r>
      <w:proofErr w:type="spellEnd"/>
      <w:r>
        <w:t xml:space="preserve"> for these agencies was increased by 13.5% and decreased by 14.8%. The effects of these changes in these agencies’ </w:t>
      </w:r>
      <w:proofErr w:type="spellStart"/>
      <w:r>
        <w:t>gpcd</w:t>
      </w:r>
      <w:proofErr w:type="spellEnd"/>
      <w:r>
        <w:t xml:space="preserve"> were analyzed for a total allocation equivalent to a WSAP Level 2 shortage allocation.</w:t>
      </w:r>
      <w:bookmarkStart w:id="35" w:name="_Toc411777923"/>
      <w:bookmarkEnd w:id="35"/>
    </w:p>
    <w:p w14:paraId="2B3A0434" w14:textId="77777777" w:rsidR="006A3664" w:rsidRDefault="006A3664" w:rsidP="006A3664">
      <w:pPr>
        <w:pStyle w:val="Heading3"/>
      </w:pPr>
      <w:r>
        <w:lastRenderedPageBreak/>
        <w:t>Analyzing the Potential Market for Allocations</w:t>
      </w:r>
    </w:p>
    <w:p w14:paraId="6BC00B17" w14:textId="77777777" w:rsidR="006A3664" w:rsidRPr="00557470" w:rsidRDefault="006A3664" w:rsidP="006A3664">
      <w:pPr>
        <w:pStyle w:val="Heading4"/>
      </w:pPr>
      <w:r w:rsidRPr="00557470">
        <w:t>Market Considerations</w:t>
      </w:r>
    </w:p>
    <w:p w14:paraId="41766725" w14:textId="429D0F8E" w:rsidR="006A3664" w:rsidRDefault="006A3664" w:rsidP="006A3664">
      <w:pPr>
        <w:rPr>
          <w:rFonts w:eastAsia="Times New Roman"/>
        </w:rPr>
      </w:pPr>
      <w:r w:rsidRPr="006C3B22">
        <w:rPr>
          <w:rFonts w:eastAsia="Times New Roman"/>
        </w:rPr>
        <w:t xml:space="preserve">Under </w:t>
      </w:r>
      <w:r>
        <w:rPr>
          <w:rFonts w:eastAsia="Times New Roman"/>
        </w:rPr>
        <w:t>current</w:t>
      </w:r>
      <w:r w:rsidRPr="006C3B22">
        <w:rPr>
          <w:rFonts w:eastAsia="Times New Roman"/>
        </w:rPr>
        <w:t xml:space="preserve"> Met rules, language exists that permits trade of purchas</w:t>
      </w:r>
      <w:r>
        <w:rPr>
          <w:rFonts w:eastAsia="Times New Roman"/>
        </w:rPr>
        <w:t>ed water among agencies, alt</w:t>
      </w:r>
      <w:r w:rsidR="0027242B">
        <w:rPr>
          <w:rFonts w:eastAsia="Times New Roman"/>
        </w:rPr>
        <w:t>hough without a form of use</w:t>
      </w:r>
      <w:r>
        <w:rPr>
          <w:rFonts w:eastAsia="Times New Roman"/>
        </w:rPr>
        <w:t xml:space="preserve"> right assigned to the allocation </w:t>
      </w:r>
      <w:r w:rsidRPr="006C3B22">
        <w:rPr>
          <w:rFonts w:eastAsia="Times New Roman"/>
        </w:rPr>
        <w:t xml:space="preserve">this allowance has little application. </w:t>
      </w:r>
      <w:r>
        <w:rPr>
          <w:rFonts w:eastAsia="Times New Roman"/>
        </w:rPr>
        <w:t xml:space="preserve">However, if an allocation included defined and transferable </w:t>
      </w:r>
      <w:r w:rsidR="0027242B">
        <w:rPr>
          <w:rFonts w:eastAsia="Times New Roman"/>
        </w:rPr>
        <w:t xml:space="preserve">use </w:t>
      </w:r>
      <w:r>
        <w:rPr>
          <w:rFonts w:eastAsia="Times New Roman"/>
        </w:rPr>
        <w:t xml:space="preserve">rights to purchase water, a market system would enable agencies to gain additional benefits from conservation efforts. The </w:t>
      </w:r>
      <w:proofErr w:type="spellStart"/>
      <w:r>
        <w:rPr>
          <w:rFonts w:eastAsia="Times New Roman"/>
        </w:rPr>
        <w:t>BrenSAP</w:t>
      </w:r>
      <w:proofErr w:type="spellEnd"/>
      <w:r>
        <w:rPr>
          <w:rFonts w:eastAsia="Times New Roman"/>
        </w:rPr>
        <w:t xml:space="preserve"> assumes that agencies with a surplus would have the opportunity to sell their surplus. However, the available opportunities for trade and subsequent outcomes are dependent upon a number of conditions, rules, and mechanisms to facilitate transactions. Although exploring the outcomes of these different potential market rules was beyond the scope of this project, we</w:t>
      </w:r>
      <w:r w:rsidRPr="006C3B22">
        <w:rPr>
          <w:rFonts w:eastAsia="Times New Roman"/>
        </w:rPr>
        <w:t xml:space="preserve"> developed a flow path of critical components and considerations that would need to be address</w:t>
      </w:r>
      <w:r>
        <w:rPr>
          <w:rFonts w:eastAsia="Times New Roman"/>
        </w:rPr>
        <w:t>ed to enable trade</w:t>
      </w:r>
      <w:r w:rsidRPr="006C3B22">
        <w:rPr>
          <w:rFonts w:eastAsia="Times New Roman"/>
        </w:rPr>
        <w:t xml:space="preserve"> among Met member agencies.</w:t>
      </w:r>
      <w:r>
        <w:rPr>
          <w:rFonts w:eastAsia="Times New Roman"/>
        </w:rPr>
        <w:t xml:space="preserve"> </w:t>
      </w:r>
    </w:p>
    <w:p w14:paraId="765FBE98" w14:textId="77777777" w:rsidR="006A3664" w:rsidRDefault="006A3664" w:rsidP="006A3664">
      <w:pPr>
        <w:rPr>
          <w:rFonts w:eastAsia="Times New Roman"/>
        </w:rPr>
      </w:pPr>
      <w:r>
        <w:rPr>
          <w:rFonts w:eastAsia="Times New Roman"/>
        </w:rPr>
        <w:t>The questions that drive the flow path considerations include:</w:t>
      </w:r>
    </w:p>
    <w:p w14:paraId="521FCA59" w14:textId="77777777" w:rsidR="006A3664" w:rsidRPr="001A1A1D" w:rsidRDefault="006A3664" w:rsidP="006A3664">
      <w:pPr>
        <w:pStyle w:val="ListParagraph"/>
        <w:numPr>
          <w:ilvl w:val="0"/>
          <w:numId w:val="35"/>
        </w:numPr>
        <w:spacing w:after="0" w:line="276" w:lineRule="auto"/>
        <w:rPr>
          <w:rFonts w:eastAsia="Times New Roman"/>
        </w:rPr>
      </w:pPr>
      <w:r w:rsidRPr="009E0BB4">
        <w:rPr>
          <w:rFonts w:eastAsia="Times New Roman"/>
        </w:rPr>
        <w:t>From whose perspective is the market operating; is the actor in the market an</w:t>
      </w:r>
      <w:r>
        <w:rPr>
          <w:rFonts w:eastAsia="Times New Roman"/>
        </w:rPr>
        <w:t xml:space="preserve"> </w:t>
      </w:r>
      <w:r w:rsidRPr="009E0BB4">
        <w:rPr>
          <w:rFonts w:eastAsia="Times New Roman"/>
        </w:rPr>
        <w:t xml:space="preserve">agency </w:t>
      </w:r>
      <w:r>
        <w:rPr>
          <w:rFonts w:eastAsia="Times New Roman"/>
        </w:rPr>
        <w:t>with a surplus or a deficit?</w:t>
      </w:r>
    </w:p>
    <w:p w14:paraId="28A29F5C" w14:textId="77777777" w:rsidR="006A3664" w:rsidRPr="001A1A1D" w:rsidRDefault="006A3664" w:rsidP="006A3664">
      <w:pPr>
        <w:pStyle w:val="ListParagraph"/>
        <w:numPr>
          <w:ilvl w:val="0"/>
          <w:numId w:val="35"/>
        </w:numPr>
        <w:spacing w:after="0" w:line="276" w:lineRule="auto"/>
        <w:rPr>
          <w:rFonts w:eastAsia="Times New Roman"/>
        </w:rPr>
      </w:pPr>
      <w:r>
        <w:rPr>
          <w:rFonts w:eastAsia="Times New Roman"/>
        </w:rPr>
        <w:t>What is being traded; an allocation, purchased water from Met, or delivered water from Met?</w:t>
      </w:r>
    </w:p>
    <w:p w14:paraId="01C85CE6" w14:textId="77777777" w:rsidR="006A3664" w:rsidRPr="001A1A1D" w:rsidRDefault="006A3664" w:rsidP="006A3664">
      <w:pPr>
        <w:pStyle w:val="ListParagraph"/>
        <w:numPr>
          <w:ilvl w:val="0"/>
          <w:numId w:val="35"/>
        </w:numPr>
        <w:spacing w:after="0" w:line="276" w:lineRule="auto"/>
        <w:rPr>
          <w:rFonts w:eastAsia="Times New Roman"/>
        </w:rPr>
      </w:pPr>
      <w:r>
        <w:rPr>
          <w:rFonts w:eastAsia="Times New Roman"/>
        </w:rPr>
        <w:t xml:space="preserve">What options are available to an agency with a surplus? Can an agency store their surplus water? </w:t>
      </w:r>
    </w:p>
    <w:p w14:paraId="7EA09A2D" w14:textId="77777777" w:rsidR="006A3664" w:rsidRPr="001A1A1D" w:rsidRDefault="006A3664" w:rsidP="006A3664">
      <w:pPr>
        <w:pStyle w:val="ListParagraph"/>
        <w:numPr>
          <w:ilvl w:val="0"/>
          <w:numId w:val="35"/>
        </w:numPr>
        <w:spacing w:after="0" w:line="276" w:lineRule="auto"/>
        <w:rPr>
          <w:rFonts w:eastAsia="Times New Roman"/>
        </w:rPr>
      </w:pPr>
      <w:r>
        <w:rPr>
          <w:rFonts w:eastAsia="Times New Roman"/>
        </w:rPr>
        <w:t>What options are available to an agency with a deficit?</w:t>
      </w:r>
    </w:p>
    <w:p w14:paraId="72479A25" w14:textId="77777777" w:rsidR="006A3664" w:rsidRPr="001A1A1D" w:rsidRDefault="006A3664" w:rsidP="006A3664">
      <w:pPr>
        <w:pStyle w:val="ListParagraph"/>
        <w:numPr>
          <w:ilvl w:val="0"/>
          <w:numId w:val="35"/>
        </w:numPr>
        <w:spacing w:after="0" w:line="276" w:lineRule="auto"/>
        <w:rPr>
          <w:rFonts w:eastAsia="Times New Roman"/>
        </w:rPr>
      </w:pPr>
      <w:r>
        <w:rPr>
          <w:rFonts w:eastAsia="Times New Roman"/>
        </w:rPr>
        <w:t xml:space="preserve">What is the mechanism for matching buyers and sellers in the market, and who administers transactions? </w:t>
      </w:r>
    </w:p>
    <w:p w14:paraId="3FF180A4" w14:textId="77777777" w:rsidR="006A3664" w:rsidRPr="001A1A1D" w:rsidRDefault="006A3664" w:rsidP="006A3664">
      <w:pPr>
        <w:pStyle w:val="ListParagraph"/>
        <w:numPr>
          <w:ilvl w:val="0"/>
          <w:numId w:val="35"/>
        </w:numPr>
        <w:spacing w:after="0" w:line="276" w:lineRule="auto"/>
        <w:rPr>
          <w:rFonts w:eastAsia="Times New Roman"/>
        </w:rPr>
      </w:pPr>
      <w:r>
        <w:rPr>
          <w:rFonts w:eastAsia="Times New Roman"/>
        </w:rPr>
        <w:t>What are the price bounds on water for sale on the market?</w:t>
      </w:r>
    </w:p>
    <w:p w14:paraId="2EE0EF84" w14:textId="77777777" w:rsidR="006A3664" w:rsidRPr="001A1A1D" w:rsidRDefault="006A3664" w:rsidP="006A3664">
      <w:pPr>
        <w:pStyle w:val="ListParagraph"/>
        <w:numPr>
          <w:ilvl w:val="0"/>
          <w:numId w:val="35"/>
        </w:numPr>
        <w:spacing w:after="0" w:line="276" w:lineRule="auto"/>
        <w:rPr>
          <w:rFonts w:eastAsia="Times New Roman"/>
        </w:rPr>
      </w:pPr>
      <w:r w:rsidRPr="001A1A1D">
        <w:rPr>
          <w:rFonts w:eastAsia="Times New Roman"/>
        </w:rPr>
        <w:t>How do water and money move after the sale?</w:t>
      </w:r>
    </w:p>
    <w:p w14:paraId="0382ACC5" w14:textId="77777777" w:rsidR="00582F79" w:rsidRDefault="00582F79" w:rsidP="00582F79">
      <w:pPr>
        <w:spacing w:line="259" w:lineRule="auto"/>
        <w:sectPr w:rsidR="00582F79" w:rsidSect="00C655BD">
          <w:footerReference w:type="default" r:id="rId21"/>
          <w:endnotePr>
            <w:numFmt w:val="decimal"/>
          </w:endnotePr>
          <w:pgSz w:w="12240" w:h="15840"/>
          <w:pgMar w:top="1800" w:right="1800" w:bottom="1800" w:left="2160" w:header="720" w:footer="720" w:gutter="0"/>
          <w:cols w:space="720"/>
        </w:sectPr>
      </w:pPr>
    </w:p>
    <w:p w14:paraId="4C3D57A9" w14:textId="3201A0CD" w:rsidR="0017765B" w:rsidRPr="00582F79" w:rsidRDefault="0017765B" w:rsidP="00582F79">
      <w:pPr>
        <w:pStyle w:val="Heading1"/>
      </w:pPr>
      <w:bookmarkStart w:id="36" w:name="_Toc416611301"/>
      <w:r>
        <w:lastRenderedPageBreak/>
        <w:t>Results</w:t>
      </w:r>
      <w:bookmarkEnd w:id="36"/>
    </w:p>
    <w:p w14:paraId="1AC9D69A" w14:textId="5ACC4A84" w:rsidR="009871C9" w:rsidRPr="009871C9" w:rsidRDefault="004E2C90" w:rsidP="009871C9">
      <w:r>
        <w:t>This section details the r</w:t>
      </w:r>
      <w:r w:rsidR="009871C9">
        <w:t xml:space="preserve">esults from </w:t>
      </w:r>
      <w:r w:rsidR="00DB188A">
        <w:t>our two major research questions. T</w:t>
      </w:r>
      <w:r w:rsidR="009871C9">
        <w:t xml:space="preserve">he </w:t>
      </w:r>
      <w:r w:rsidR="00DB188A">
        <w:t xml:space="preserve">results </w:t>
      </w:r>
      <w:r w:rsidR="0028103D">
        <w:t>from</w:t>
      </w:r>
      <w:r w:rsidR="00DB188A">
        <w:t xml:space="preserve"> our analysis of the </w:t>
      </w:r>
      <w:r w:rsidR="009871C9">
        <w:t xml:space="preserve">existing </w:t>
      </w:r>
      <w:r w:rsidR="00DB188A">
        <w:t>water supply</w:t>
      </w:r>
      <w:r w:rsidR="009871C9">
        <w:t xml:space="preserve"> allocation plan (WSAP)</w:t>
      </w:r>
      <w:r>
        <w:t xml:space="preserve"> and </w:t>
      </w:r>
      <w:r w:rsidR="00DB188A">
        <w:t>the testing of our</w:t>
      </w:r>
      <w:r>
        <w:t xml:space="preserve"> </w:t>
      </w:r>
      <w:r w:rsidR="00DB188A">
        <w:t xml:space="preserve">proposed </w:t>
      </w:r>
      <w:proofErr w:type="spellStart"/>
      <w:r w:rsidR="00DB188A">
        <w:t>BrenSAP</w:t>
      </w:r>
      <w:proofErr w:type="spellEnd"/>
      <w:r w:rsidR="00DB188A">
        <w:t xml:space="preserve"> are presented below</w:t>
      </w:r>
      <w:r w:rsidR="007C086B">
        <w:t>.</w:t>
      </w:r>
    </w:p>
    <w:p w14:paraId="43F7A850" w14:textId="5414C1E7" w:rsidR="0017765B" w:rsidRPr="004146E7" w:rsidRDefault="0017765B" w:rsidP="007D1CD0">
      <w:pPr>
        <w:pStyle w:val="Heading2"/>
      </w:pPr>
      <w:bookmarkStart w:id="37" w:name="_Toc416611302"/>
      <w:r w:rsidRPr="004146E7">
        <w:t>Question 1</w:t>
      </w:r>
      <w:r w:rsidR="00E27AF9">
        <w:t>: Analyzing the Status Quo</w:t>
      </w:r>
      <w:bookmarkEnd w:id="37"/>
    </w:p>
    <w:p w14:paraId="1725CF04" w14:textId="5772AF46" w:rsidR="007C086B" w:rsidRDefault="007C086B" w:rsidP="00A26471">
      <w:r>
        <w:t xml:space="preserve">The WSAP is a complicated allocation method that incorporates a </w:t>
      </w:r>
      <w:r w:rsidR="00B76C86">
        <w:t xml:space="preserve">large </w:t>
      </w:r>
      <w:r>
        <w:t xml:space="preserve">number of components to </w:t>
      </w:r>
      <w:r w:rsidR="00B76C86">
        <w:t xml:space="preserve">intricately </w:t>
      </w:r>
      <w:r>
        <w:t xml:space="preserve">derive an agency’s allocation. Through our initial review of the WSAP, we developed a visualized representation to help understand </w:t>
      </w:r>
      <w:r w:rsidR="00B76C86">
        <w:t xml:space="preserve">how each of the components is </w:t>
      </w:r>
      <w:r>
        <w:t xml:space="preserve">used and </w:t>
      </w:r>
      <w:r w:rsidR="00B76C86">
        <w:t xml:space="preserve">the </w:t>
      </w:r>
      <w:r>
        <w:t xml:space="preserve">relative effect </w:t>
      </w:r>
      <w:r w:rsidR="00B76C86">
        <w:t xml:space="preserve">of each component in </w:t>
      </w:r>
      <w:r>
        <w:t xml:space="preserve">determining the allocation. A </w:t>
      </w:r>
      <w:r w:rsidR="00B76C86">
        <w:t xml:space="preserve">full </w:t>
      </w:r>
      <w:r>
        <w:t xml:space="preserve">diagram of the </w:t>
      </w:r>
      <w:r w:rsidR="00B76C86">
        <w:t xml:space="preserve">WSAP </w:t>
      </w:r>
      <w:r>
        <w:t xml:space="preserve">components is provided in </w:t>
      </w:r>
      <w:r w:rsidR="00B76C86">
        <w:t xml:space="preserve">Appendix A, but for the purposes of specifically analyzing the incentives for conservation, we have reduced the WSAP to the </w:t>
      </w:r>
      <w:r w:rsidR="00E346DF">
        <w:t>simplified</w:t>
      </w:r>
      <w:r w:rsidR="00B76C86">
        <w:t xml:space="preserve"> diagram</w:t>
      </w:r>
      <w:r w:rsidR="00D10235">
        <w:t xml:space="preserve"> in </w:t>
      </w:r>
      <w:r w:rsidR="00D10235">
        <w:fldChar w:fldCharType="begin"/>
      </w:r>
      <w:r w:rsidR="00D10235">
        <w:instrText xml:space="preserve"> REF _Ref416278175 \h </w:instrText>
      </w:r>
      <w:r w:rsidR="00D10235">
        <w:fldChar w:fldCharType="separate"/>
      </w:r>
      <w:r w:rsidR="00D10235">
        <w:t xml:space="preserve">Figure </w:t>
      </w:r>
      <w:r w:rsidR="00D10235">
        <w:rPr>
          <w:noProof/>
        </w:rPr>
        <w:t>4</w:t>
      </w:r>
      <w:r w:rsidR="00D10235">
        <w:noBreakHyphen/>
      </w:r>
      <w:r w:rsidR="00D10235">
        <w:rPr>
          <w:noProof/>
        </w:rPr>
        <w:t>1</w:t>
      </w:r>
      <w:r w:rsidR="00D10235">
        <w:fldChar w:fldCharType="end"/>
      </w:r>
      <w:r>
        <w:t>.</w:t>
      </w:r>
    </w:p>
    <w:p w14:paraId="70968390" w14:textId="7C9C5C47" w:rsidR="003D77BC" w:rsidRDefault="003D77BC" w:rsidP="003D77BC">
      <w:pPr>
        <w:keepNext/>
      </w:pPr>
      <w:r>
        <w:rPr>
          <w:noProof/>
        </w:rPr>
        <w:drawing>
          <wp:inline distT="0" distB="0" distL="0" distR="0" wp14:anchorId="1211B055" wp14:editId="5F71FDF8">
            <wp:extent cx="5257800" cy="3645914"/>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7800" cy="3645914"/>
                    </a:xfrm>
                    <a:prstGeom prst="rect">
                      <a:avLst/>
                    </a:prstGeom>
                    <a:noFill/>
                  </pic:spPr>
                </pic:pic>
              </a:graphicData>
            </a:graphic>
          </wp:inline>
        </w:drawing>
      </w:r>
    </w:p>
    <w:p w14:paraId="3B6EA13C" w14:textId="52C545DB" w:rsidR="004245D8" w:rsidRDefault="00A21172" w:rsidP="00A21172">
      <w:pPr>
        <w:pStyle w:val="Caption"/>
      </w:pPr>
      <w:bookmarkStart w:id="38" w:name="_Ref416278175"/>
      <w:bookmarkStart w:id="39" w:name="_Toc416362757"/>
      <w:r>
        <w:t xml:space="preserve">Figure </w:t>
      </w:r>
      <w:r w:rsidR="00DF236E">
        <w:fldChar w:fldCharType="begin"/>
      </w:r>
      <w:r w:rsidR="00DF236E">
        <w:instrText xml:space="preserve"> STYLEREF 1 \s </w:instrText>
      </w:r>
      <w:r w:rsidR="00DF236E">
        <w:fldChar w:fldCharType="separate"/>
      </w:r>
      <w:r w:rsidR="00DC1192">
        <w:rPr>
          <w:noProof/>
        </w:rPr>
        <w:t>4</w:t>
      </w:r>
      <w:r w:rsidR="00DF236E">
        <w:rPr>
          <w:noProof/>
        </w:rPr>
        <w:fldChar w:fldCharType="end"/>
      </w:r>
      <w:r w:rsidR="00DC1192">
        <w:noBreakHyphen/>
      </w:r>
      <w:r w:rsidR="00DF236E">
        <w:fldChar w:fldCharType="begin"/>
      </w:r>
      <w:r w:rsidR="00DF236E">
        <w:instrText xml:space="preserve"> SEQ Figure \* ARABIC \s 1 </w:instrText>
      </w:r>
      <w:r w:rsidR="00DF236E">
        <w:fldChar w:fldCharType="separate"/>
      </w:r>
      <w:r w:rsidR="00DC1192">
        <w:rPr>
          <w:noProof/>
        </w:rPr>
        <w:t>1</w:t>
      </w:r>
      <w:r w:rsidR="00DF236E">
        <w:rPr>
          <w:noProof/>
        </w:rPr>
        <w:fldChar w:fldCharType="end"/>
      </w:r>
      <w:bookmarkEnd w:id="38"/>
      <w:r>
        <w:t xml:space="preserve">. </w:t>
      </w:r>
      <w:proofErr w:type="gramStart"/>
      <w:r>
        <w:t>Incentives for conservation under the status quo (WSAP).</w:t>
      </w:r>
      <w:bookmarkEnd w:id="39"/>
      <w:proofErr w:type="gramEnd"/>
      <w:r w:rsidR="007F1480" w:rsidRPr="004E2C90">
        <w:t xml:space="preserve"> </w:t>
      </w:r>
    </w:p>
    <w:p w14:paraId="2A7A036C" w14:textId="36430264" w:rsidR="00FB766B" w:rsidRDefault="00A21172" w:rsidP="008220A7">
      <w:r>
        <w:lastRenderedPageBreak/>
        <w:t xml:space="preserve">It was found that </w:t>
      </w:r>
      <w:r w:rsidRPr="004E2C90">
        <w:t xml:space="preserve">the more </w:t>
      </w:r>
      <w:r>
        <w:t xml:space="preserve">an agency </w:t>
      </w:r>
      <w:r w:rsidRPr="004E2C90">
        <w:t>conserve</w:t>
      </w:r>
      <w:r>
        <w:t>s</w:t>
      </w:r>
      <w:r w:rsidRPr="004E2C90">
        <w:t xml:space="preserve"> under the </w:t>
      </w:r>
      <w:r>
        <w:t>W</w:t>
      </w:r>
      <w:r w:rsidRPr="004E2C90">
        <w:t xml:space="preserve">SAP, the smaller </w:t>
      </w:r>
      <w:r>
        <w:t xml:space="preserve">its </w:t>
      </w:r>
      <w:r w:rsidRPr="004E2C90">
        <w:t>allocation</w:t>
      </w:r>
      <w:r>
        <w:t xml:space="preserve"> will be</w:t>
      </w:r>
      <w:r w:rsidRPr="004E2C90">
        <w:t xml:space="preserve">. </w:t>
      </w:r>
      <w:r w:rsidR="008220A7">
        <w:t xml:space="preserve">For a simplified explanation of the components of the WSAP directly pertinent </w:t>
      </w:r>
      <w:r w:rsidR="003D1128">
        <w:t>to</w:t>
      </w:r>
      <w:r w:rsidR="00FB766B">
        <w:t xml:space="preserve"> conservation:</w:t>
      </w:r>
    </w:p>
    <w:p w14:paraId="1C20C52F" w14:textId="77777777" w:rsidR="00FB766B" w:rsidRDefault="00FB766B" w:rsidP="009F4ED4">
      <w:pPr>
        <w:pStyle w:val="ListParagraph"/>
        <w:numPr>
          <w:ilvl w:val="3"/>
          <w:numId w:val="29"/>
        </w:numPr>
        <w:tabs>
          <w:tab w:val="clear" w:pos="288"/>
        </w:tabs>
        <w:ind w:left="540" w:hanging="360"/>
      </w:pPr>
      <w:r>
        <w:t>T</w:t>
      </w:r>
      <w:r w:rsidR="008220A7">
        <w:t xml:space="preserve">he first component to consider is </w:t>
      </w:r>
      <w:r w:rsidR="007F1480" w:rsidRPr="004E2C90">
        <w:t>how much water an agency need</w:t>
      </w:r>
      <w:r w:rsidR="008220A7">
        <w:t>ed</w:t>
      </w:r>
      <w:r w:rsidR="007F1480" w:rsidRPr="004E2C90">
        <w:t xml:space="preserve"> to meet its demands</w:t>
      </w:r>
      <w:r w:rsidR="008220A7">
        <w:t xml:space="preserve"> in the past.</w:t>
      </w:r>
      <w:r w:rsidRPr="00AC0D5A">
        <w:rPr>
          <w:rStyle w:val="FootnoteReference"/>
        </w:rPr>
        <w:footnoteReference w:id="1"/>
      </w:r>
      <w:r w:rsidR="008220A7">
        <w:t xml:space="preserve"> </w:t>
      </w:r>
    </w:p>
    <w:p w14:paraId="244B67C3" w14:textId="77777777" w:rsidR="00FB766B" w:rsidRDefault="00FB766B" w:rsidP="009F4ED4">
      <w:pPr>
        <w:pStyle w:val="ListParagraph"/>
        <w:numPr>
          <w:ilvl w:val="3"/>
          <w:numId w:val="29"/>
        </w:numPr>
        <w:tabs>
          <w:tab w:val="clear" w:pos="288"/>
        </w:tabs>
        <w:ind w:left="540" w:hanging="360"/>
      </w:pPr>
      <w:r>
        <w:t xml:space="preserve">If an agency has implemented conservations since then, water demand for the agency will be reduced. </w:t>
      </w:r>
    </w:p>
    <w:p w14:paraId="3CD2200D" w14:textId="7BD87C1A" w:rsidR="008220A7" w:rsidRDefault="00FB766B" w:rsidP="009F4ED4">
      <w:pPr>
        <w:pStyle w:val="ListParagraph"/>
        <w:numPr>
          <w:ilvl w:val="3"/>
          <w:numId w:val="29"/>
        </w:numPr>
        <w:tabs>
          <w:tab w:val="clear" w:pos="288"/>
        </w:tabs>
        <w:ind w:left="540" w:hanging="360"/>
      </w:pPr>
      <w:r>
        <w:t>Most agencies have local water supplies, so the water needed from Met is only a portion of an agency’s total water demand.</w:t>
      </w:r>
    </w:p>
    <w:p w14:paraId="3B1DF099" w14:textId="4517B2F1" w:rsidR="00FB766B" w:rsidRDefault="00FB766B" w:rsidP="009F4ED4">
      <w:pPr>
        <w:pStyle w:val="ListParagraph"/>
        <w:numPr>
          <w:ilvl w:val="3"/>
          <w:numId w:val="29"/>
        </w:numPr>
        <w:tabs>
          <w:tab w:val="clear" w:pos="288"/>
        </w:tabs>
        <w:ind w:left="540" w:hanging="360"/>
      </w:pPr>
      <w:r>
        <w:t>When drought occurs and Met supplies are insufficient to meet all water demands, the WSAP is used to determine how much each agency’s allocation will be reduced from its demand. Each shortage level of the WSAP corresponds to a percentage reduction with potential credits/adjustments to accommodate for special circumstances from agency to agency.</w:t>
      </w:r>
    </w:p>
    <w:p w14:paraId="3DD425FE" w14:textId="40063AAF" w:rsidR="00850350" w:rsidRDefault="00FB766B" w:rsidP="009F4ED4">
      <w:pPr>
        <w:pStyle w:val="ListParagraph"/>
        <w:numPr>
          <w:ilvl w:val="3"/>
          <w:numId w:val="29"/>
        </w:numPr>
        <w:tabs>
          <w:tab w:val="clear" w:pos="288"/>
        </w:tabs>
        <w:ind w:left="540" w:hanging="360"/>
      </w:pPr>
      <w:r>
        <w:t xml:space="preserve">The adjustment for conservation however, only credits a small fraction of the </w:t>
      </w:r>
      <w:r w:rsidR="00A21F31">
        <w:t xml:space="preserve">total </w:t>
      </w:r>
      <w:r>
        <w:t xml:space="preserve">amount of water </w:t>
      </w:r>
      <w:r w:rsidR="00A21F31">
        <w:t xml:space="preserve">actually </w:t>
      </w:r>
      <w:r>
        <w:t xml:space="preserve">conserved by an agency. </w:t>
      </w:r>
      <w:r w:rsidR="00A21F31">
        <w:t xml:space="preserve">The </w:t>
      </w:r>
      <w:r w:rsidR="007F1480" w:rsidRPr="004E2C90">
        <w:t>more an agency conserves the less water they get</w:t>
      </w:r>
      <w:r w:rsidR="00A21F31">
        <w:t>, whereas if agencies do had not conserved, their allocations would have been larger.</w:t>
      </w:r>
    </w:p>
    <w:p w14:paraId="3C5A5D7A" w14:textId="2D98C314" w:rsidR="00355B5B" w:rsidRDefault="00355B5B" w:rsidP="007D1CD0">
      <w:pPr>
        <w:pStyle w:val="Heading3"/>
      </w:pPr>
      <w:r>
        <w:t>Conservation Demand Hardening Adjustment</w:t>
      </w:r>
    </w:p>
    <w:p w14:paraId="71C0DBB9" w14:textId="36139000" w:rsidR="00355B5B" w:rsidRDefault="00160272" w:rsidP="00A172DC">
      <w:r w:rsidRPr="00A172DC">
        <w:t>The WSAP does not actually provide a credit for the direct conservation done by an agency, but instead, t</w:t>
      </w:r>
      <w:r w:rsidR="00355B5B" w:rsidRPr="00A172DC">
        <w:t xml:space="preserve">he WSAP </w:t>
      </w:r>
      <w:r w:rsidRPr="00A172DC">
        <w:t xml:space="preserve">attempts to account </w:t>
      </w:r>
      <w:r w:rsidR="00355B5B" w:rsidRPr="00A172DC">
        <w:t xml:space="preserve">for </w:t>
      </w:r>
      <w:r w:rsidRPr="00A172DC">
        <w:t xml:space="preserve">the </w:t>
      </w:r>
      <w:r w:rsidR="00355B5B" w:rsidRPr="00A172DC">
        <w:t xml:space="preserve">water demand “hardening” an agency might experience </w:t>
      </w:r>
      <w:r w:rsidRPr="00A172DC">
        <w:t xml:space="preserve">as a result of </w:t>
      </w:r>
      <w:r w:rsidR="00355B5B" w:rsidRPr="00A172DC">
        <w:t xml:space="preserve">its conservation efforts. </w:t>
      </w:r>
      <w:r w:rsidRPr="00A172DC">
        <w:t xml:space="preserve">This is why even under the most severe shortage level, where the maximum potential adjustments are given, the conservation demand hardening adjustment still only credits agencies for </w:t>
      </w:r>
      <w:r w:rsidR="00A172DC" w:rsidRPr="00A172DC">
        <w:t>33% of the water they conserved</w:t>
      </w:r>
      <w:r w:rsidR="00355B5B" w:rsidRPr="00A172DC">
        <w:t>.</w:t>
      </w:r>
    </w:p>
    <w:p w14:paraId="7C65006C" w14:textId="13694745" w:rsidR="00D10235" w:rsidRDefault="00D10235" w:rsidP="00D10235">
      <w:pPr>
        <w:pStyle w:val="Caption"/>
        <w:keepNext/>
        <w:jc w:val="center"/>
      </w:pPr>
      <w:r>
        <w:lastRenderedPageBreak/>
        <w:t xml:space="preserve">Table </w:t>
      </w:r>
      <w:r w:rsidR="00DF236E">
        <w:fldChar w:fldCharType="begin"/>
      </w:r>
      <w:r w:rsidR="00DF236E">
        <w:instrText xml:space="preserve"> STYLEREF 1 \s </w:instrText>
      </w:r>
      <w:r w:rsidR="00DF236E">
        <w:fldChar w:fldCharType="separate"/>
      </w:r>
      <w:r w:rsidR="009C6DFD">
        <w:rPr>
          <w:noProof/>
        </w:rPr>
        <w:t>4</w:t>
      </w:r>
      <w:r w:rsidR="00DF236E">
        <w:rPr>
          <w:noProof/>
        </w:rPr>
        <w:fldChar w:fldCharType="end"/>
      </w:r>
      <w:r w:rsidR="009C6DFD">
        <w:noBreakHyphen/>
      </w:r>
      <w:r w:rsidR="00DF236E">
        <w:fldChar w:fldCharType="begin"/>
      </w:r>
      <w:r w:rsidR="00DF236E">
        <w:instrText xml:space="preserve"> SEQ Table \* ARABIC \s 1 </w:instrText>
      </w:r>
      <w:r w:rsidR="00DF236E">
        <w:fldChar w:fldCharType="separate"/>
      </w:r>
      <w:r w:rsidR="009C6DFD">
        <w:rPr>
          <w:noProof/>
        </w:rPr>
        <w:t>1</w:t>
      </w:r>
      <w:r w:rsidR="00DF236E">
        <w:rPr>
          <w:noProof/>
        </w:rPr>
        <w:fldChar w:fldCharType="end"/>
      </w:r>
      <w:r>
        <w:t>. Conservation demand hardening adjustment compared to water conserved.</w:t>
      </w:r>
    </w:p>
    <w:p w14:paraId="27882AE4" w14:textId="36BC99CC" w:rsidR="00A172DC" w:rsidRDefault="00A172DC" w:rsidP="00D10235">
      <w:pPr>
        <w:pStyle w:val="Caption"/>
      </w:pPr>
      <w:r w:rsidRPr="00A172DC">
        <w:rPr>
          <w:noProof/>
        </w:rPr>
        <w:drawing>
          <wp:inline distT="0" distB="0" distL="0" distR="0" wp14:anchorId="0731436A" wp14:editId="7E422871">
            <wp:extent cx="3552825" cy="29813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52825" cy="2981325"/>
                    </a:xfrm>
                    <a:prstGeom prst="rect">
                      <a:avLst/>
                    </a:prstGeom>
                    <a:noFill/>
                    <a:ln>
                      <a:noFill/>
                    </a:ln>
                  </pic:spPr>
                </pic:pic>
              </a:graphicData>
            </a:graphic>
          </wp:inline>
        </w:drawing>
      </w:r>
    </w:p>
    <w:p w14:paraId="02316773" w14:textId="5C2BEEE6" w:rsidR="00355B5B" w:rsidRDefault="003038E4" w:rsidP="003038E4">
      <w:pPr>
        <w:pStyle w:val="Heading3"/>
      </w:pPr>
      <w:r>
        <w:t>Status Quo Allocations</w:t>
      </w:r>
    </w:p>
    <w:p w14:paraId="557A9ED3" w14:textId="7087BD7E" w:rsidR="003038E4" w:rsidRPr="003038E4" w:rsidRDefault="003038E4" w:rsidP="003038E4">
      <w:r>
        <w:t>The WSAP model was used to calculate an allocation for each of the member agencies to provide a general reference for current distribution of water under the status quo. A level 2 shortage, equating to approximately 10% shortage was used to serve as the baseline for analysis. (Individual agency WSAP allocation r</w:t>
      </w:r>
      <w:r w:rsidR="00D10235">
        <w:t xml:space="preserve">esults are provided in </w:t>
      </w:r>
      <w:r w:rsidR="00D10235">
        <w:fldChar w:fldCharType="begin"/>
      </w:r>
      <w:r w:rsidR="00D10235">
        <w:instrText xml:space="preserve"> REF _Ref416277778 \h </w:instrText>
      </w:r>
      <w:r w:rsidR="00D10235">
        <w:fldChar w:fldCharType="separate"/>
      </w:r>
      <w:r w:rsidR="00D10235">
        <w:t xml:space="preserve">Table </w:t>
      </w:r>
      <w:r w:rsidR="00D10235">
        <w:rPr>
          <w:noProof/>
        </w:rPr>
        <w:t>9</w:t>
      </w:r>
      <w:r w:rsidR="00D10235">
        <w:noBreakHyphen/>
      </w:r>
      <w:r w:rsidR="00D10235">
        <w:rPr>
          <w:noProof/>
        </w:rPr>
        <w:t>1</w:t>
      </w:r>
      <w:r w:rsidR="00D10235">
        <w:fldChar w:fldCharType="end"/>
      </w:r>
      <w:r>
        <w:t xml:space="preserve"> in Appendix A.)</w:t>
      </w:r>
    </w:p>
    <w:p w14:paraId="395C0157" w14:textId="77777777" w:rsidR="0017765B" w:rsidRDefault="0017765B" w:rsidP="00AF4277">
      <w:pPr>
        <w:pStyle w:val="Heading3"/>
      </w:pPr>
      <w:r>
        <w:t>Individual Agency Behavior Scenario Modeling</w:t>
      </w:r>
    </w:p>
    <w:p w14:paraId="09DE1068" w14:textId="40A7E116" w:rsidR="00904F71" w:rsidRDefault="009B7526" w:rsidP="00904F71">
      <w:r>
        <w:t>The WSAP was used to model what the effects to an agency would be if it increased or decreased the amount of conservation it had undertaken. T</w:t>
      </w:r>
      <w:r w:rsidR="0017765B">
        <w:t xml:space="preserve">he </w:t>
      </w:r>
      <w:r>
        <w:t xml:space="preserve">results </w:t>
      </w:r>
      <w:r w:rsidR="0017765B">
        <w:t xml:space="preserve">of </w:t>
      </w:r>
      <w:r>
        <w:t xml:space="preserve">testing a </w:t>
      </w:r>
      <w:r w:rsidR="0017765B">
        <w:t xml:space="preserve">10% increase </w:t>
      </w:r>
      <w:r w:rsidR="008A5954">
        <w:t>and</w:t>
      </w:r>
      <w:r w:rsidR="0017765B">
        <w:t xml:space="preserve"> </w:t>
      </w:r>
      <w:r>
        <w:t xml:space="preserve">a </w:t>
      </w:r>
      <w:r w:rsidR="008A5954">
        <w:t xml:space="preserve">10% </w:t>
      </w:r>
      <w:r w:rsidR="0017765B">
        <w:t xml:space="preserve">decrease in </w:t>
      </w:r>
      <w:proofErr w:type="spellStart"/>
      <w:r w:rsidR="00B82BFE">
        <w:t>gpcd</w:t>
      </w:r>
      <w:proofErr w:type="spellEnd"/>
      <w:r w:rsidR="0017765B">
        <w:t xml:space="preserve"> </w:t>
      </w:r>
      <w:r>
        <w:t xml:space="preserve">on </w:t>
      </w:r>
      <w:r w:rsidR="00721D79">
        <w:t xml:space="preserve">individual agency </w:t>
      </w:r>
      <w:r>
        <w:t xml:space="preserve">allocations under the WSAP </w:t>
      </w:r>
      <w:r w:rsidR="008A5954">
        <w:t xml:space="preserve">yielded results that </w:t>
      </w:r>
      <w:r>
        <w:t>are not favorable for incentivizing</w:t>
      </w:r>
      <w:r w:rsidR="008A5954">
        <w:t xml:space="preserve"> </w:t>
      </w:r>
      <w:r w:rsidR="0017765B">
        <w:t>conservation</w:t>
      </w:r>
      <w:r w:rsidR="004E671F">
        <w:t>.</w:t>
      </w:r>
      <w:r w:rsidR="008A5954">
        <w:t xml:space="preserve"> </w:t>
      </w:r>
    </w:p>
    <w:p w14:paraId="29F0CDBC" w14:textId="77777777" w:rsidR="0021534E" w:rsidRDefault="0021534E" w:rsidP="0021534E">
      <w:r>
        <w:rPr>
          <w:noProof/>
        </w:rPr>
        <w:lastRenderedPageBreak/>
        <w:drawing>
          <wp:inline distT="0" distB="0" distL="0" distR="0" wp14:anchorId="36A66624" wp14:editId="28A93C36">
            <wp:extent cx="5257800" cy="3138406"/>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7800" cy="3138406"/>
                    </a:xfrm>
                    <a:prstGeom prst="rect">
                      <a:avLst/>
                    </a:prstGeom>
                    <a:noFill/>
                  </pic:spPr>
                </pic:pic>
              </a:graphicData>
            </a:graphic>
          </wp:inline>
        </w:drawing>
      </w:r>
    </w:p>
    <w:p w14:paraId="600DE0AC" w14:textId="1DE13B88" w:rsidR="00EA5B7B" w:rsidRDefault="00D10235" w:rsidP="00D10235">
      <w:pPr>
        <w:pStyle w:val="Caption"/>
      </w:pPr>
      <w:bookmarkStart w:id="40" w:name="_Toc416362758"/>
      <w:r>
        <w:t xml:space="preserve">Figure </w:t>
      </w:r>
      <w:r w:rsidR="00DF236E">
        <w:fldChar w:fldCharType="begin"/>
      </w:r>
      <w:r w:rsidR="00DF236E">
        <w:instrText xml:space="preserve"> STYLEREF 1 \s </w:instrText>
      </w:r>
      <w:r w:rsidR="00DF236E">
        <w:fldChar w:fldCharType="separate"/>
      </w:r>
      <w:r w:rsidR="00DC1192">
        <w:rPr>
          <w:noProof/>
        </w:rPr>
        <w:t>4</w:t>
      </w:r>
      <w:r w:rsidR="00DF236E">
        <w:rPr>
          <w:noProof/>
        </w:rPr>
        <w:fldChar w:fldCharType="end"/>
      </w:r>
      <w:r w:rsidR="00DC1192">
        <w:noBreakHyphen/>
      </w:r>
      <w:r w:rsidR="00DF236E">
        <w:fldChar w:fldCharType="begin"/>
      </w:r>
      <w:r w:rsidR="00DF236E">
        <w:instrText xml:space="preserve"> SEQ Figure \* ARABIC \s 1 </w:instrText>
      </w:r>
      <w:r w:rsidR="00DF236E">
        <w:fldChar w:fldCharType="separate"/>
      </w:r>
      <w:r w:rsidR="00DC1192">
        <w:rPr>
          <w:noProof/>
        </w:rPr>
        <w:t>2</w:t>
      </w:r>
      <w:r w:rsidR="00DF236E">
        <w:rPr>
          <w:noProof/>
        </w:rPr>
        <w:fldChar w:fldCharType="end"/>
      </w:r>
      <w:r>
        <w:t xml:space="preserve">. </w:t>
      </w:r>
      <w:r w:rsidR="00EA5B7B">
        <w:t>“Use more get more” and “use it or lose it”</w:t>
      </w:r>
      <w:r>
        <w:t>.</w:t>
      </w:r>
      <w:bookmarkEnd w:id="40"/>
    </w:p>
    <w:p w14:paraId="1CA26EBE" w14:textId="77777777" w:rsidR="000002FE" w:rsidRDefault="0017765B" w:rsidP="00A26471">
      <w:r>
        <w:t xml:space="preserve">The </w:t>
      </w:r>
      <w:r w:rsidR="00904F71">
        <w:t xml:space="preserve">more water an agency uses, the more allocation the </w:t>
      </w:r>
      <w:r>
        <w:t xml:space="preserve">WSAP </w:t>
      </w:r>
      <w:r w:rsidR="00904F71">
        <w:t xml:space="preserve">gives, and if an agency conserves and uses less water, it loses that water under the WSAP. </w:t>
      </w:r>
    </w:p>
    <w:p w14:paraId="45AC1CF2" w14:textId="559D6018" w:rsidR="00EA5B7B" w:rsidRDefault="000002FE" w:rsidP="00A26471">
      <w:pPr>
        <w:rPr>
          <w:lang w:eastAsia="ja-JP"/>
        </w:rPr>
      </w:pPr>
      <w:r>
        <w:t xml:space="preserve">Testing of the WSAP showed that while other factors such as percentage dependence on Met could affect the magnitude of the result, </w:t>
      </w:r>
      <w:r w:rsidR="002D0147">
        <w:rPr>
          <w:lang w:eastAsia="ja-JP"/>
        </w:rPr>
        <w:t>all agencies</w:t>
      </w:r>
      <w:r>
        <w:rPr>
          <w:lang w:eastAsia="ja-JP"/>
        </w:rPr>
        <w:t xml:space="preserve"> received a smaller </w:t>
      </w:r>
      <w:r w:rsidR="002D0147">
        <w:rPr>
          <w:lang w:eastAsia="ja-JP"/>
        </w:rPr>
        <w:t xml:space="preserve">allocation </w:t>
      </w:r>
      <w:r>
        <w:rPr>
          <w:lang w:eastAsia="ja-JP"/>
        </w:rPr>
        <w:t xml:space="preserve">for conserving water and a larger allocation for using more water. </w:t>
      </w:r>
    </w:p>
    <w:p w14:paraId="5C44885B" w14:textId="7AD0405E" w:rsidR="00EA5B7B" w:rsidRDefault="00AC6CA9" w:rsidP="00EA5B7B">
      <w:pPr>
        <w:pStyle w:val="Heading4"/>
      </w:pPr>
      <w:r>
        <w:t>S</w:t>
      </w:r>
      <w:r w:rsidR="00EA5B7B">
        <w:t xml:space="preserve">tarting </w:t>
      </w:r>
      <w:r w:rsidR="00C866DF">
        <w:t>water use</w:t>
      </w:r>
      <w:r>
        <w:t xml:space="preserve"> does not impact allocation</w:t>
      </w:r>
    </w:p>
    <w:p w14:paraId="1038112D" w14:textId="230FC943" w:rsidR="00387375" w:rsidRDefault="0017765B" w:rsidP="00A26471">
      <w:r>
        <w:t xml:space="preserve">The magnitude of </w:t>
      </w:r>
      <w:r w:rsidR="00EA5B7B">
        <w:t>the</w:t>
      </w:r>
      <w:r>
        <w:t xml:space="preserve"> </w:t>
      </w:r>
      <w:r w:rsidR="00EA5B7B">
        <w:t xml:space="preserve">WSAP </w:t>
      </w:r>
      <w:r>
        <w:t xml:space="preserve">allocation adjustment is the same regardless of whether an </w:t>
      </w:r>
      <w:r w:rsidRPr="00A26471">
        <w:t xml:space="preserve">agency has a low, medium, or high </w:t>
      </w:r>
      <w:r w:rsidR="00C866DF">
        <w:t>water use</w:t>
      </w:r>
      <w:r w:rsidR="00EA5B7B">
        <w:t xml:space="preserve">. This </w:t>
      </w:r>
      <w:r w:rsidR="00387375">
        <w:t>mean</w:t>
      </w:r>
      <w:r w:rsidR="00EA5B7B">
        <w:t>s</w:t>
      </w:r>
      <w:r w:rsidR="00387375">
        <w:t xml:space="preserve"> that allocations for agencies that </w:t>
      </w:r>
      <w:r w:rsidR="00EA5B7B">
        <w:t xml:space="preserve">are already efficient with their water use </w:t>
      </w:r>
      <w:r w:rsidR="00387375">
        <w:t xml:space="preserve">are </w:t>
      </w:r>
      <w:r w:rsidR="00EA5B7B">
        <w:t xml:space="preserve">required to </w:t>
      </w:r>
      <w:r w:rsidR="00387375">
        <w:t xml:space="preserve">cut back the same as agencies </w:t>
      </w:r>
      <w:r w:rsidR="00EA5B7B">
        <w:t>that are not as efficient with their water use</w:t>
      </w:r>
      <w:r w:rsidR="00AC6CA9">
        <w:t>; the allocations for a</w:t>
      </w:r>
      <w:r w:rsidR="00EA5B7B">
        <w:t xml:space="preserve">n agency with 300 </w:t>
      </w:r>
      <w:proofErr w:type="spellStart"/>
      <w:r w:rsidR="00EA5B7B">
        <w:t>gpcd</w:t>
      </w:r>
      <w:proofErr w:type="spellEnd"/>
      <w:r w:rsidR="00EA5B7B">
        <w:t xml:space="preserve"> and an a</w:t>
      </w:r>
      <w:r w:rsidR="00AC6CA9">
        <w:t xml:space="preserve">gency with 150 </w:t>
      </w:r>
      <w:proofErr w:type="spellStart"/>
      <w:r w:rsidR="00AC6CA9">
        <w:t>gpcd</w:t>
      </w:r>
      <w:proofErr w:type="spellEnd"/>
      <w:r w:rsidR="00AC6CA9">
        <w:t xml:space="preserve"> will both be reduced by the same percentage.</w:t>
      </w:r>
    </w:p>
    <w:p w14:paraId="381F35AC" w14:textId="3EF6F4E9" w:rsidR="0017765B" w:rsidRDefault="0017765B" w:rsidP="00A26471">
      <w:r w:rsidRPr="00A26471">
        <w:t xml:space="preserve">Only when </w:t>
      </w:r>
      <w:r w:rsidR="00AC6CA9">
        <w:t xml:space="preserve">the allocation for </w:t>
      </w:r>
      <w:r w:rsidRPr="00A26471">
        <w:t xml:space="preserve">an agency </w:t>
      </w:r>
      <w:r w:rsidR="00AC6CA9">
        <w:t xml:space="preserve">drops below </w:t>
      </w:r>
      <w:r w:rsidRPr="00A26471">
        <w:t xml:space="preserve">the </w:t>
      </w:r>
      <w:proofErr w:type="gramStart"/>
      <w:r w:rsidRPr="00A26471">
        <w:t>100</w:t>
      </w:r>
      <w:r w:rsidR="00387375">
        <w:t xml:space="preserve"> </w:t>
      </w:r>
      <w:proofErr w:type="spellStart"/>
      <w:r w:rsidR="00B82BFE" w:rsidRPr="00A26471">
        <w:t>gpcd</w:t>
      </w:r>
      <w:proofErr w:type="spellEnd"/>
      <w:proofErr w:type="gramEnd"/>
      <w:r w:rsidRPr="00A26471">
        <w:t xml:space="preserve"> threshold does the WSAP make a significant accommodation for </w:t>
      </w:r>
      <w:r w:rsidR="00AC6CA9">
        <w:t xml:space="preserve">low </w:t>
      </w:r>
      <w:proofErr w:type="spellStart"/>
      <w:r w:rsidR="00AC6CA9">
        <w:t>gpcd</w:t>
      </w:r>
      <w:proofErr w:type="spellEnd"/>
      <w:r w:rsidR="00AC6CA9">
        <w:t xml:space="preserve"> agencies</w:t>
      </w:r>
      <w:r w:rsidRPr="00A26471">
        <w:t>.</w:t>
      </w:r>
      <w:r w:rsidRPr="00A26471">
        <w:rPr>
          <w:rStyle w:val="EndnoteReference"/>
        </w:rPr>
        <w:endnoteReference w:id="23"/>
      </w:r>
      <w:r w:rsidRPr="00A26471">
        <w:t xml:space="preserve"> </w:t>
      </w:r>
      <w:r w:rsidR="00AC6CA9">
        <w:t xml:space="preserve">The WSAP ensures that an agency will not receive less than 100 </w:t>
      </w:r>
      <w:proofErr w:type="spellStart"/>
      <w:r w:rsidR="00AC6CA9">
        <w:t>gpcd</w:t>
      </w:r>
      <w:proofErr w:type="spellEnd"/>
      <w:r w:rsidR="00AC6CA9">
        <w:t xml:space="preserve"> if it has a retail demand exceeding 100 </w:t>
      </w:r>
      <w:proofErr w:type="spellStart"/>
      <w:r w:rsidR="00AC6CA9">
        <w:t>gpcd</w:t>
      </w:r>
      <w:proofErr w:type="spellEnd"/>
      <w:r w:rsidR="00AC6CA9">
        <w:t xml:space="preserve">. However, if an agency has retail demand less than 100 </w:t>
      </w:r>
      <w:proofErr w:type="spellStart"/>
      <w:r w:rsidR="00AC6CA9">
        <w:t>gpcd</w:t>
      </w:r>
      <w:proofErr w:type="spellEnd"/>
      <w:r w:rsidR="00AC6CA9">
        <w:t>, such as Compton, then the WSAP will only allocate the amount demanded.</w:t>
      </w:r>
    </w:p>
    <w:p w14:paraId="0CF8127C" w14:textId="13E769EF" w:rsidR="0017765B" w:rsidRDefault="0017765B" w:rsidP="00850350">
      <w:pPr>
        <w:rPr>
          <w:lang w:eastAsia="ja-JP"/>
        </w:rPr>
      </w:pPr>
      <w:r>
        <w:rPr>
          <w:lang w:eastAsia="ja-JP"/>
        </w:rPr>
        <w:lastRenderedPageBreak/>
        <w:t xml:space="preserve">The percentage change in allocation was also greater than the simulated 10% change in demand due to conservation or lack thereof. The only exception to the change in allocation being more than 10% was for LBWD (low </w:t>
      </w:r>
      <w:proofErr w:type="spellStart"/>
      <w:r w:rsidR="00B82BFE">
        <w:rPr>
          <w:lang w:eastAsia="ja-JP"/>
        </w:rPr>
        <w:t>gpcd</w:t>
      </w:r>
      <w:proofErr w:type="spellEnd"/>
      <w:r>
        <w:rPr>
          <w:lang w:eastAsia="ja-JP"/>
        </w:rPr>
        <w:t xml:space="preserve"> agency) when it conserved more and decreased </w:t>
      </w:r>
      <w:proofErr w:type="spellStart"/>
      <w:r w:rsidR="00B82BFE">
        <w:rPr>
          <w:lang w:eastAsia="ja-JP"/>
        </w:rPr>
        <w:t>gpcd</w:t>
      </w:r>
      <w:proofErr w:type="spellEnd"/>
      <w:r>
        <w:rPr>
          <w:lang w:eastAsia="ja-JP"/>
        </w:rPr>
        <w:t>. In this case, the reduction to allocation for LBWD</w:t>
      </w:r>
      <w:r w:rsidR="00402CAD">
        <w:rPr>
          <w:lang w:eastAsia="ja-JP"/>
        </w:rPr>
        <w:t xml:space="preserve"> was only reduced by 8% due to the</w:t>
      </w:r>
      <w:r>
        <w:rPr>
          <w:lang w:eastAsia="ja-JP"/>
        </w:rPr>
        <w:t xml:space="preserve"> </w:t>
      </w:r>
      <w:proofErr w:type="gramStart"/>
      <w:r w:rsidR="00402CAD">
        <w:rPr>
          <w:lang w:eastAsia="ja-JP"/>
        </w:rPr>
        <w:t xml:space="preserve">100 </w:t>
      </w:r>
      <w:proofErr w:type="spellStart"/>
      <w:r w:rsidR="00402CAD">
        <w:rPr>
          <w:lang w:eastAsia="ja-JP"/>
        </w:rPr>
        <w:t>gpcd</w:t>
      </w:r>
      <w:proofErr w:type="spellEnd"/>
      <w:proofErr w:type="gramEnd"/>
      <w:r w:rsidR="00402CAD">
        <w:rPr>
          <w:lang w:eastAsia="ja-JP"/>
        </w:rPr>
        <w:t xml:space="preserve"> </w:t>
      </w:r>
      <w:r>
        <w:rPr>
          <w:lang w:eastAsia="ja-JP"/>
        </w:rPr>
        <w:t xml:space="preserve">minimum allowance rule in the WSAP. Aside from the smaller change in allocation due to the </w:t>
      </w:r>
      <w:proofErr w:type="gramStart"/>
      <w:r>
        <w:rPr>
          <w:lang w:eastAsia="ja-JP"/>
        </w:rPr>
        <w:t xml:space="preserve">100 </w:t>
      </w:r>
      <w:proofErr w:type="spellStart"/>
      <w:r w:rsidR="00B82BFE">
        <w:rPr>
          <w:lang w:eastAsia="ja-JP"/>
        </w:rPr>
        <w:t>gpcd</w:t>
      </w:r>
      <w:proofErr w:type="spellEnd"/>
      <w:proofErr w:type="gramEnd"/>
      <w:r>
        <w:rPr>
          <w:lang w:eastAsia="ja-JP"/>
        </w:rPr>
        <w:t xml:space="preserve"> minimum, the changes in allocation were similar across all </w:t>
      </w:r>
      <w:proofErr w:type="spellStart"/>
      <w:r w:rsidR="00B82BFE">
        <w:rPr>
          <w:lang w:eastAsia="ja-JP"/>
        </w:rPr>
        <w:t>gpcd</w:t>
      </w:r>
      <w:proofErr w:type="spellEnd"/>
      <w:r>
        <w:rPr>
          <w:lang w:eastAsia="ja-JP"/>
        </w:rPr>
        <w:t xml:space="preserve"> groups.</w:t>
      </w:r>
    </w:p>
    <w:p w14:paraId="72A2E183" w14:textId="77777777" w:rsidR="0017765B" w:rsidRDefault="0017765B" w:rsidP="00AF4277">
      <w:pPr>
        <w:pStyle w:val="Heading3"/>
      </w:pPr>
      <w:r>
        <w:t>Met System-Wide Behavior Scenario Modeling</w:t>
      </w:r>
    </w:p>
    <w:p w14:paraId="6DB2604A" w14:textId="644E1F95" w:rsidR="0017765B" w:rsidRDefault="0017765B" w:rsidP="00AF4277">
      <w:pPr>
        <w:rPr>
          <w:lang w:eastAsia="ja-JP"/>
        </w:rPr>
      </w:pPr>
      <w:r w:rsidRPr="00CA19D3">
        <w:rPr>
          <w:lang w:eastAsia="ja-JP"/>
        </w:rPr>
        <w:t xml:space="preserve">The results of modeling the </w:t>
      </w:r>
      <w:r>
        <w:rPr>
          <w:lang w:eastAsia="ja-JP"/>
        </w:rPr>
        <w:t xml:space="preserve">aggregate system-wide </w:t>
      </w:r>
      <w:r w:rsidRPr="00CA19D3">
        <w:rPr>
          <w:lang w:eastAsia="ja-JP"/>
        </w:rPr>
        <w:t>effects of a</w:t>
      </w:r>
      <w:r>
        <w:rPr>
          <w:lang w:eastAsia="ja-JP"/>
        </w:rPr>
        <w:t xml:space="preserve"> </w:t>
      </w:r>
      <w:r w:rsidR="00C866DF">
        <w:rPr>
          <w:lang w:eastAsia="ja-JP"/>
        </w:rPr>
        <w:t>water use</w:t>
      </w:r>
      <w:r>
        <w:rPr>
          <w:lang w:eastAsia="ja-JP"/>
        </w:rPr>
        <w:t xml:space="preserve"> reduction or increase by multiple agencies </w:t>
      </w:r>
      <w:r w:rsidRPr="00CA19D3">
        <w:rPr>
          <w:lang w:eastAsia="ja-JP"/>
        </w:rPr>
        <w:t>reveal</w:t>
      </w:r>
      <w:r>
        <w:rPr>
          <w:lang w:eastAsia="ja-JP"/>
        </w:rPr>
        <w:t>ed</w:t>
      </w:r>
      <w:r w:rsidRPr="00CA19D3">
        <w:rPr>
          <w:lang w:eastAsia="ja-JP"/>
        </w:rPr>
        <w:t xml:space="preserve"> </w:t>
      </w:r>
      <w:r w:rsidR="003947DF">
        <w:rPr>
          <w:lang w:eastAsia="ja-JP"/>
        </w:rPr>
        <w:t xml:space="preserve">that the </w:t>
      </w:r>
      <w:r>
        <w:rPr>
          <w:lang w:eastAsia="ja-JP"/>
        </w:rPr>
        <w:t xml:space="preserve">SAP provides a larger water allocation and financial benefits to non-conserving agencies while conserving agencies receive a smaller allocation. This result is the same as the individual agency modeling results, except with one additional </w:t>
      </w:r>
      <w:r w:rsidR="00C440ED">
        <w:rPr>
          <w:lang w:eastAsia="ja-JP"/>
        </w:rPr>
        <w:t xml:space="preserve">significant </w:t>
      </w:r>
      <w:r>
        <w:rPr>
          <w:lang w:eastAsia="ja-JP"/>
        </w:rPr>
        <w:t>outcome: the behavior of individual agencies can increase or decrease the level of shortage for the entire system. Therefore, under the status quo</w:t>
      </w:r>
      <w:r w:rsidR="00C618AB">
        <w:rPr>
          <w:lang w:eastAsia="ja-JP"/>
        </w:rPr>
        <w:t>, agencies</w:t>
      </w:r>
      <w:r>
        <w:rPr>
          <w:lang w:eastAsia="ja-JP"/>
        </w:rPr>
        <w:t xml:space="preserve"> are benefited or harmed by the actions of other agencies. </w:t>
      </w:r>
    </w:p>
    <w:p w14:paraId="7DF5D0A8" w14:textId="77777777" w:rsidR="00976AED" w:rsidRDefault="00976AED" w:rsidP="00976AED">
      <w:pPr>
        <w:keepNext/>
      </w:pPr>
      <w:r>
        <w:rPr>
          <w:noProof/>
        </w:rPr>
        <w:lastRenderedPageBreak/>
        <w:drawing>
          <wp:inline distT="0" distB="0" distL="0" distR="0" wp14:anchorId="3562FF40" wp14:editId="31E715AA">
            <wp:extent cx="5257800" cy="4028129"/>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7800" cy="4028129"/>
                    </a:xfrm>
                    <a:prstGeom prst="rect">
                      <a:avLst/>
                    </a:prstGeom>
                    <a:noFill/>
                  </pic:spPr>
                </pic:pic>
              </a:graphicData>
            </a:graphic>
          </wp:inline>
        </w:drawing>
      </w:r>
    </w:p>
    <w:p w14:paraId="5882310D" w14:textId="0F2DCFA3" w:rsidR="00D10235" w:rsidRDefault="00D10235" w:rsidP="00D10235">
      <w:pPr>
        <w:pStyle w:val="Caption"/>
      </w:pPr>
      <w:bookmarkStart w:id="41" w:name="_Toc416362759"/>
      <w:r>
        <w:t xml:space="preserve">Figure </w:t>
      </w:r>
      <w:r w:rsidR="00DF236E">
        <w:fldChar w:fldCharType="begin"/>
      </w:r>
      <w:r w:rsidR="00DF236E">
        <w:instrText xml:space="preserve"> STYLEREF 1 \s </w:instrText>
      </w:r>
      <w:r w:rsidR="00DF236E">
        <w:fldChar w:fldCharType="separate"/>
      </w:r>
      <w:r w:rsidR="00DC1192">
        <w:rPr>
          <w:noProof/>
        </w:rPr>
        <w:t>4</w:t>
      </w:r>
      <w:r w:rsidR="00DF236E">
        <w:rPr>
          <w:noProof/>
        </w:rPr>
        <w:fldChar w:fldCharType="end"/>
      </w:r>
      <w:r w:rsidR="00DC1192">
        <w:noBreakHyphen/>
      </w:r>
      <w:r w:rsidR="00DF236E">
        <w:fldChar w:fldCharType="begin"/>
      </w:r>
      <w:r w:rsidR="00DF236E">
        <w:instrText xml:space="preserve"> SEQ Figure \* ARABIC \s 1 </w:instrText>
      </w:r>
      <w:r w:rsidR="00DF236E">
        <w:fldChar w:fldCharType="separate"/>
      </w:r>
      <w:r w:rsidR="00DC1192">
        <w:rPr>
          <w:noProof/>
        </w:rPr>
        <w:t>3</w:t>
      </w:r>
      <w:r w:rsidR="00DF236E">
        <w:rPr>
          <w:noProof/>
        </w:rPr>
        <w:fldChar w:fldCharType="end"/>
      </w:r>
      <w:r>
        <w:t>. When agencies conserve more, other agencies benefit by receiving larger allocations. When agencies use more water, other agencies receive smaller allocations.</w:t>
      </w:r>
      <w:bookmarkEnd w:id="41"/>
    </w:p>
    <w:p w14:paraId="6F24E0E7" w14:textId="00E47C53" w:rsidR="0017765B" w:rsidRDefault="00D2355A" w:rsidP="00D10235">
      <w:pPr>
        <w:pStyle w:val="Heading4"/>
      </w:pPr>
      <w:r>
        <w:t>Aggressive</w:t>
      </w:r>
      <w:r w:rsidR="00680409">
        <w:t xml:space="preserve"> Conservation</w:t>
      </w:r>
      <w:r w:rsidR="0017765B">
        <w:t xml:space="preserve"> </w:t>
      </w:r>
      <w:r w:rsidR="0017765B" w:rsidRPr="005C7519">
        <w:t>Scenario</w:t>
      </w:r>
    </w:p>
    <w:p w14:paraId="05539E66" w14:textId="77777777" w:rsidR="00446990" w:rsidRDefault="00482D15" w:rsidP="00850350">
      <w:r>
        <w:t>When multiple a</w:t>
      </w:r>
      <w:r w:rsidR="0017765B">
        <w:t xml:space="preserve">gencies </w:t>
      </w:r>
      <w:r>
        <w:t>engage in conservation, the reduced water demand of those agencies allows</w:t>
      </w:r>
      <w:r w:rsidR="0017765B">
        <w:t xml:space="preserve"> Met to declare a less severe level of shortage</w:t>
      </w:r>
      <w:r>
        <w:t xml:space="preserve"> than it would have had to if those same agencies had not conserved</w:t>
      </w:r>
      <w:r w:rsidR="0017765B">
        <w:t xml:space="preserve">. </w:t>
      </w:r>
      <w:r>
        <w:t>T</w:t>
      </w:r>
      <w:r w:rsidR="0017765B">
        <w:t xml:space="preserve">he conserving agencies </w:t>
      </w:r>
      <w:r>
        <w:t xml:space="preserve">bear the </w:t>
      </w:r>
      <w:r w:rsidR="0017765B">
        <w:t xml:space="preserve">costs </w:t>
      </w:r>
      <w:r>
        <w:t xml:space="preserve">of </w:t>
      </w:r>
      <w:r w:rsidR="0017765B">
        <w:t>conservation</w:t>
      </w:r>
      <w:r>
        <w:t xml:space="preserve"> and either lose revenue from reduced water sales or have to increase rates for their own ratepayers</w:t>
      </w:r>
      <w:r w:rsidR="0017765B">
        <w:t>. C</w:t>
      </w:r>
      <w:r w:rsidR="0017765B" w:rsidRPr="00E118F6">
        <w:t xml:space="preserve">onserving </w:t>
      </w:r>
      <w:r w:rsidR="0017765B">
        <w:t xml:space="preserve">agencies are essentially </w:t>
      </w:r>
      <w:r w:rsidR="0017765B" w:rsidRPr="00E118F6">
        <w:t>voluntarily forgo</w:t>
      </w:r>
      <w:r w:rsidR="0017765B">
        <w:t>ing</w:t>
      </w:r>
      <w:r w:rsidR="0017765B" w:rsidRPr="00E118F6">
        <w:t xml:space="preserve"> allocation at their own</w:t>
      </w:r>
      <w:r w:rsidR="0017765B">
        <w:rPr>
          <w:rStyle w:val="EndnoteReference"/>
        </w:rPr>
        <w:endnoteReference w:id="24"/>
      </w:r>
      <w:r w:rsidR="0017765B" w:rsidRPr="00E118F6">
        <w:t xml:space="preserve"> </w:t>
      </w:r>
      <w:r w:rsidR="0017765B">
        <w:t>expense</w:t>
      </w:r>
      <w:r w:rsidR="0017765B" w:rsidRPr="00E118F6">
        <w:t xml:space="preserve"> </w:t>
      </w:r>
      <w:r w:rsidR="0017765B">
        <w:t>while non-conserving or less</w:t>
      </w:r>
      <w:r>
        <w:t>er</w:t>
      </w:r>
      <w:r w:rsidR="0017765B">
        <w:t>-conserving agencies reap the benefits</w:t>
      </w:r>
      <w:r>
        <w:t xml:space="preserve">. </w:t>
      </w:r>
    </w:p>
    <w:p w14:paraId="4CD2551C" w14:textId="4F3FE19D" w:rsidR="0093729A" w:rsidRDefault="00482D15" w:rsidP="00850350">
      <w:r>
        <w:t xml:space="preserve">Non-conserving agencies are able </w:t>
      </w:r>
      <w:r w:rsidR="00446990">
        <w:t>receive</w:t>
      </w:r>
      <w:r>
        <w:t xml:space="preserve"> a larger allocation</w:t>
      </w:r>
      <w:r w:rsidR="0017765B">
        <w:t xml:space="preserve"> </w:t>
      </w:r>
      <w:r w:rsidR="00446990">
        <w:t xml:space="preserve">than they would have if the other agencies had not conserved. This occurs because the reduction in water demand by the conserving agencies means that there is now less of a discrepancy between water demand and </w:t>
      </w:r>
      <w:r w:rsidR="003A1CCB">
        <w:t>the drought-</w:t>
      </w:r>
      <w:r w:rsidR="00446990">
        <w:t>constrained water supplies, so therefore less of a reduction is needed to scale total demand down to equal available supply.</w:t>
      </w:r>
      <w:r w:rsidR="004F752A">
        <w:t xml:space="preserve"> </w:t>
      </w:r>
      <w:r w:rsidR="004F752A">
        <w:lastRenderedPageBreak/>
        <w:t xml:space="preserve">The lessened reduction means that the non-conserving agencies are benefitted and receive a larger allocation unrelated to their own actions. </w:t>
      </w:r>
    </w:p>
    <w:p w14:paraId="5719234A" w14:textId="77777777" w:rsidR="00976AED" w:rsidRDefault="00976AED" w:rsidP="00976AED">
      <w:pPr>
        <w:pStyle w:val="Heading4"/>
      </w:pPr>
      <w:r>
        <w:t>Increased Consumption Scenario</w:t>
      </w:r>
    </w:p>
    <w:p w14:paraId="45394AC0" w14:textId="0FF7AEE1" w:rsidR="00976AED" w:rsidRDefault="00976AED" w:rsidP="00850350">
      <w:r>
        <w:t xml:space="preserve">When multiple agencies increase their water demand rather than conserve, the increased water demand of those agencies forces Met to have to declare a more severe level of shortage than it would have had to if those same agencies had conserved. </w:t>
      </w:r>
      <w:r w:rsidR="003A1CCB">
        <w:t xml:space="preserve">The increase in water demand means that there is a larger discrepancy between water demand and the drought-constrained water supplies, so therefore more of a reduction is needed to scale total demand down to equal available supply. </w:t>
      </w:r>
      <w:r>
        <w:t xml:space="preserve">The agencies increasing their water use do so </w:t>
      </w:r>
      <w:r w:rsidRPr="00E118F6">
        <w:t xml:space="preserve">at </w:t>
      </w:r>
      <w:r>
        <w:t xml:space="preserve">the expense of all other Met member agencies, which will now experience a larger allocation reduction than they would have if more conservation occurred. </w:t>
      </w:r>
    </w:p>
    <w:p w14:paraId="2E6053E3" w14:textId="77777777" w:rsidR="003A1CCB" w:rsidRDefault="003A1CCB">
      <w:pPr>
        <w:spacing w:line="259" w:lineRule="auto"/>
        <w:rPr>
          <w:rFonts w:asciiTheme="majorHAnsi" w:eastAsiaTheme="majorEastAsia" w:hAnsiTheme="majorHAnsi" w:cstheme="majorBidi"/>
          <w:color w:val="B64926" w:themeColor="accent3"/>
          <w:sz w:val="32"/>
          <w:szCs w:val="28"/>
        </w:rPr>
      </w:pPr>
      <w:r>
        <w:br w:type="page"/>
      </w:r>
    </w:p>
    <w:p w14:paraId="716C2372" w14:textId="1A82FE3E" w:rsidR="00E36A58" w:rsidRDefault="00E36A58" w:rsidP="00E36A58">
      <w:pPr>
        <w:pStyle w:val="Heading2"/>
      </w:pPr>
      <w:bookmarkStart w:id="42" w:name="_Toc416611303"/>
      <w:r>
        <w:lastRenderedPageBreak/>
        <w:t xml:space="preserve">Question </w:t>
      </w:r>
      <w:r w:rsidR="001356A4">
        <w:t>2</w:t>
      </w:r>
      <w:r w:rsidR="00E27AF9">
        <w:t>: A New Way Forward</w:t>
      </w:r>
      <w:bookmarkEnd w:id="42"/>
    </w:p>
    <w:p w14:paraId="13616283" w14:textId="77777777" w:rsidR="00A8638B" w:rsidRPr="006F5E94" w:rsidRDefault="00A8638B" w:rsidP="00A8638B">
      <w:pPr>
        <w:pStyle w:val="Heading3"/>
      </w:pPr>
      <w:r w:rsidRPr="006F5E94">
        <w:t xml:space="preserve">Comparison of </w:t>
      </w:r>
      <w:proofErr w:type="spellStart"/>
      <w:r w:rsidRPr="006F5E94">
        <w:t>BrenSAP</w:t>
      </w:r>
      <w:proofErr w:type="spellEnd"/>
      <w:r w:rsidRPr="006F5E94">
        <w:t xml:space="preserve"> Allocation to WSAP Allocation</w:t>
      </w:r>
    </w:p>
    <w:p w14:paraId="1A0D010D" w14:textId="21515FF2" w:rsidR="00A8638B" w:rsidRDefault="00A8638B" w:rsidP="00A8638B">
      <w:r>
        <w:t xml:space="preserve">Total Met </w:t>
      </w:r>
      <w:r w:rsidRPr="006F5E94">
        <w:t xml:space="preserve">allocations </w:t>
      </w:r>
      <w:r>
        <w:t xml:space="preserve">under the </w:t>
      </w:r>
      <w:proofErr w:type="spellStart"/>
      <w:r>
        <w:t>BrenSAP</w:t>
      </w:r>
      <w:proofErr w:type="spellEnd"/>
      <w:r>
        <w:t xml:space="preserve"> were calculated </w:t>
      </w:r>
      <w:r w:rsidRPr="006F5E94">
        <w:t xml:space="preserve">to </w:t>
      </w:r>
      <w:r>
        <w:t>match the total 2015 WSAP allocations under all levels of shortage (Shortage level 1 equals a 5% reduction in demand, level 2 equals a 10% reduction, etc.). Since the tot</w:t>
      </w:r>
      <w:r w:rsidR="004A6925">
        <w:t xml:space="preserve">al amount of water allocated amount was intentionally set to be the same between the WSAP and </w:t>
      </w:r>
      <w:proofErr w:type="spellStart"/>
      <w:r w:rsidR="004A6925">
        <w:t>BrenSAP</w:t>
      </w:r>
      <w:proofErr w:type="spellEnd"/>
      <w:r w:rsidR="004A6925">
        <w:t xml:space="preserve"> for all shortage levels</w:t>
      </w:r>
      <w:r>
        <w:t xml:space="preserve">, the only </w:t>
      </w:r>
      <w:r w:rsidR="004A6925">
        <w:t>difference</w:t>
      </w:r>
      <w:r>
        <w:t xml:space="preserve"> was </w:t>
      </w:r>
      <w:r w:rsidR="004A6925">
        <w:t xml:space="preserve">how the total supply would be </w:t>
      </w:r>
      <w:r>
        <w:t>dis</w:t>
      </w:r>
      <w:r w:rsidR="004A6925">
        <w:t>tributed</w:t>
      </w:r>
      <w:r>
        <w:t xml:space="preserve"> among agencies.</w:t>
      </w:r>
    </w:p>
    <w:p w14:paraId="0F5DF2ED" w14:textId="61E8D0A8" w:rsidR="00D02F8F" w:rsidRDefault="00D02F8F" w:rsidP="00D02F8F">
      <w:pPr>
        <w:pStyle w:val="Heading4"/>
      </w:pPr>
      <w:r>
        <w:t>Incentivizing conservation</w:t>
      </w:r>
    </w:p>
    <w:p w14:paraId="52801B15" w14:textId="02AB8989" w:rsidR="00A8638B" w:rsidRDefault="00A8638B" w:rsidP="00A8638B">
      <w:r>
        <w:t xml:space="preserve">Since the </w:t>
      </w:r>
      <w:proofErr w:type="spellStart"/>
      <w:r>
        <w:t>BrenSAP</w:t>
      </w:r>
      <w:proofErr w:type="spellEnd"/>
      <w:r>
        <w:t xml:space="preserve"> is designed </w:t>
      </w:r>
      <w:r w:rsidR="00D02F8F">
        <w:t xml:space="preserve">with the specific goal </w:t>
      </w:r>
      <w:r w:rsidR="00DF236E">
        <w:t>to promote</w:t>
      </w:r>
      <w:r>
        <w:t xml:space="preserve"> conservation, we examined how the amount of conservation an agency achieves (measured in percent reduction in </w:t>
      </w:r>
      <w:proofErr w:type="spellStart"/>
      <w:r>
        <w:t>gpcd</w:t>
      </w:r>
      <w:proofErr w:type="spellEnd"/>
      <w:r>
        <w:t>) relates to the allocation benefits it receives under our system (</w:t>
      </w:r>
      <w:r w:rsidR="00D10235">
        <w:fldChar w:fldCharType="begin"/>
      </w:r>
      <w:r w:rsidR="00D10235">
        <w:instrText xml:space="preserve"> REF _Ref416278399 \h </w:instrText>
      </w:r>
      <w:r w:rsidR="00D10235">
        <w:fldChar w:fldCharType="separate"/>
      </w:r>
      <w:r w:rsidR="00D10235">
        <w:t xml:space="preserve">Figure </w:t>
      </w:r>
      <w:r w:rsidR="00D10235">
        <w:rPr>
          <w:noProof/>
        </w:rPr>
        <w:t>4</w:t>
      </w:r>
      <w:r w:rsidR="00D10235">
        <w:noBreakHyphen/>
      </w:r>
      <w:r w:rsidR="00D10235">
        <w:rPr>
          <w:noProof/>
        </w:rPr>
        <w:t>4</w:t>
      </w:r>
      <w:r w:rsidR="00D10235">
        <w:fldChar w:fldCharType="end"/>
      </w:r>
      <w:r>
        <w:t>).</w:t>
      </w:r>
    </w:p>
    <w:p w14:paraId="179BC70E" w14:textId="42614229" w:rsidR="00A8638B" w:rsidRDefault="00A8638B" w:rsidP="00A8638B">
      <w:r>
        <w:t xml:space="preserve">Agencies were ranked according to how much their allocation increased percentage-wise under the </w:t>
      </w:r>
      <w:proofErr w:type="spellStart"/>
      <w:r>
        <w:t>BrenSAP</w:t>
      </w:r>
      <w:proofErr w:type="spellEnd"/>
      <w:r>
        <w:t xml:space="preserve">. Similarly, agencies were ranked by the </w:t>
      </w:r>
      <w:proofErr w:type="spellStart"/>
      <w:r>
        <w:t>gpcd</w:t>
      </w:r>
      <w:proofErr w:type="spellEnd"/>
      <w:r>
        <w:t xml:space="preserve"> reduction that they achieved from the baseline year (2008) to the current allocation year (2015). We find a positive correlation between </w:t>
      </w:r>
      <w:r w:rsidR="00D02F8F">
        <w:t xml:space="preserve">the </w:t>
      </w:r>
      <w:proofErr w:type="gramStart"/>
      <w:r>
        <w:t>amount</w:t>
      </w:r>
      <w:proofErr w:type="gramEnd"/>
      <w:r>
        <w:t xml:space="preserve"> of conservation </w:t>
      </w:r>
      <w:r w:rsidR="00D02F8F">
        <w:t xml:space="preserve">an agency achieves </w:t>
      </w:r>
      <w:r>
        <w:t xml:space="preserve">and </w:t>
      </w:r>
      <w:r w:rsidR="00D02F8F">
        <w:t xml:space="preserve">how much it benefits from the </w:t>
      </w:r>
      <w:proofErr w:type="spellStart"/>
      <w:r>
        <w:t>BrenSAP</w:t>
      </w:r>
      <w:proofErr w:type="spellEnd"/>
      <w:r>
        <w:t xml:space="preserve"> allocation.</w:t>
      </w:r>
    </w:p>
    <w:p w14:paraId="4E301011" w14:textId="5E504117" w:rsidR="00A8638B" w:rsidRDefault="009937F1" w:rsidP="00A8638B">
      <w:pPr>
        <w:keepNext/>
        <w:jc w:val="center"/>
      </w:pPr>
      <w:r>
        <w:rPr>
          <w:noProof/>
        </w:rPr>
        <w:lastRenderedPageBreak/>
        <w:drawing>
          <wp:inline distT="0" distB="0" distL="0" distR="0" wp14:anchorId="4E857467" wp14:editId="13F2BFB3">
            <wp:extent cx="5257800" cy="385456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7800" cy="3854568"/>
                    </a:xfrm>
                    <a:prstGeom prst="rect">
                      <a:avLst/>
                    </a:prstGeom>
                    <a:noFill/>
                  </pic:spPr>
                </pic:pic>
              </a:graphicData>
            </a:graphic>
          </wp:inline>
        </w:drawing>
      </w:r>
    </w:p>
    <w:p w14:paraId="4A21FA2D" w14:textId="7FF4D8F8" w:rsidR="00D10235" w:rsidRDefault="00D10235" w:rsidP="00D10235">
      <w:pPr>
        <w:pStyle w:val="Caption"/>
      </w:pPr>
      <w:bookmarkStart w:id="43" w:name="_Ref416278399"/>
      <w:bookmarkStart w:id="44" w:name="_Toc416362760"/>
      <w:r>
        <w:t xml:space="preserve">Figure </w:t>
      </w:r>
      <w:r w:rsidR="00DF236E">
        <w:fldChar w:fldCharType="begin"/>
      </w:r>
      <w:r w:rsidR="00DF236E">
        <w:instrText xml:space="preserve"> STYLEREF 1 \s </w:instrText>
      </w:r>
      <w:r w:rsidR="00DF236E">
        <w:fldChar w:fldCharType="separate"/>
      </w:r>
      <w:r w:rsidR="00DC1192">
        <w:rPr>
          <w:noProof/>
        </w:rPr>
        <w:t>4</w:t>
      </w:r>
      <w:r w:rsidR="00DF236E">
        <w:rPr>
          <w:noProof/>
        </w:rPr>
        <w:fldChar w:fldCharType="end"/>
      </w:r>
      <w:r w:rsidR="00DC1192">
        <w:noBreakHyphen/>
      </w:r>
      <w:r w:rsidR="00DF236E">
        <w:fldChar w:fldCharType="begin"/>
      </w:r>
      <w:r w:rsidR="00DF236E">
        <w:instrText xml:space="preserve"> SEQ Figure \* ARABIC \s 1 </w:instrText>
      </w:r>
      <w:r w:rsidR="00DF236E">
        <w:fldChar w:fldCharType="separate"/>
      </w:r>
      <w:r w:rsidR="00DC1192">
        <w:rPr>
          <w:noProof/>
        </w:rPr>
        <w:t>4</w:t>
      </w:r>
      <w:r w:rsidR="00DF236E">
        <w:rPr>
          <w:noProof/>
        </w:rPr>
        <w:fldChar w:fldCharType="end"/>
      </w:r>
      <w:bookmarkEnd w:id="43"/>
      <w:r>
        <w:t>.</w:t>
      </w:r>
      <w:r w:rsidR="001E3F44">
        <w:t xml:space="preserve"> Agencies that reduce their water use through conservation, as measured by gallons per capita per day (</w:t>
      </w:r>
      <w:proofErr w:type="spellStart"/>
      <w:r w:rsidR="001E3F44">
        <w:t>gpcd</w:t>
      </w:r>
      <w:proofErr w:type="spellEnd"/>
      <w:r w:rsidR="001E3F44">
        <w:t>),</w:t>
      </w:r>
      <w:r>
        <w:t xml:space="preserve"> receive a larger allocation under the </w:t>
      </w:r>
      <w:proofErr w:type="spellStart"/>
      <w:r>
        <w:t>BrenSAP</w:t>
      </w:r>
      <w:proofErr w:type="spellEnd"/>
      <w:r>
        <w:t xml:space="preserve"> than under the 2015 WSAP.</w:t>
      </w:r>
      <w:bookmarkEnd w:id="44"/>
    </w:p>
    <w:p w14:paraId="3CD4D0A2" w14:textId="4EF5E368" w:rsidR="00D02F8F" w:rsidRDefault="00D02F8F" w:rsidP="00D10235">
      <w:pPr>
        <w:pStyle w:val="Heading4"/>
      </w:pPr>
      <w:r>
        <w:t>Political feasibility</w:t>
      </w:r>
    </w:p>
    <w:p w14:paraId="6CD6FE89" w14:textId="3CB47D1E" w:rsidR="003A2FA2" w:rsidRDefault="001B2588" w:rsidP="00D02F8F">
      <w:r>
        <w:t xml:space="preserve">The </w:t>
      </w:r>
      <w:r w:rsidR="003A2FA2">
        <w:t>allocation of any re</w:t>
      </w:r>
      <w:r>
        <w:t>source inherently means that the process</w:t>
      </w:r>
      <w:r w:rsidR="003A2FA2">
        <w:t xml:space="preserve"> will inevitably benefit some parties</w:t>
      </w:r>
      <w:r>
        <w:t xml:space="preserve"> and disenfranchise other</w:t>
      </w:r>
      <w:r w:rsidR="003A2FA2">
        <w:t>s. Therefore, a</w:t>
      </w:r>
      <w:r w:rsidR="00D02F8F">
        <w:t xml:space="preserve">n important factor </w:t>
      </w:r>
      <w:r w:rsidR="003A2FA2">
        <w:t xml:space="preserve">in developing a new allocation system is to </w:t>
      </w:r>
      <w:r w:rsidR="00096580">
        <w:t>understand</w:t>
      </w:r>
      <w:r w:rsidR="003A2FA2">
        <w:t xml:space="preserve"> </w:t>
      </w:r>
      <w:proofErr w:type="gramStart"/>
      <w:r w:rsidR="003A2FA2">
        <w:t>who</w:t>
      </w:r>
      <w:proofErr w:type="gramEnd"/>
      <w:r w:rsidR="003A2FA2">
        <w:t xml:space="preserve"> the winners and losers will be.</w:t>
      </w:r>
    </w:p>
    <w:p w14:paraId="458403FB" w14:textId="6511DDF3" w:rsidR="00307B9F" w:rsidRDefault="00307B9F" w:rsidP="00D02F8F">
      <w:r>
        <w:t>T</w:t>
      </w:r>
      <w:r w:rsidR="003A2FA2">
        <w:t xml:space="preserve">he data we used to model the WSAP and </w:t>
      </w:r>
      <w:proofErr w:type="spellStart"/>
      <w:r w:rsidR="003A2FA2">
        <w:t>BrenSAP</w:t>
      </w:r>
      <w:proofErr w:type="spellEnd"/>
      <w:r w:rsidR="003A2FA2">
        <w:t xml:space="preserve"> are known to be estimates, </w:t>
      </w:r>
      <w:r>
        <w:t xml:space="preserve">so </w:t>
      </w:r>
      <w:r w:rsidR="003A2FA2">
        <w:t xml:space="preserve">we </w:t>
      </w:r>
      <w:r>
        <w:t xml:space="preserve">performed this analysis knowing that the votes from agencies that would actually be benefitted could be slightly different. Nonetheless, the goal of this analysis was to determine whether it could be politically feasible for a new allocation system to be approved based on the agencies that would be benefitted.  </w:t>
      </w:r>
    </w:p>
    <w:p w14:paraId="210A62CF" w14:textId="786B90E4" w:rsidR="009F4ED4" w:rsidRDefault="00307B9F" w:rsidP="00D02F8F">
      <w:r>
        <w:t xml:space="preserve">We find that for ten of the eleven shortage levels, the </w:t>
      </w:r>
      <w:proofErr w:type="spellStart"/>
      <w:r>
        <w:t>BrenSAP</w:t>
      </w:r>
      <w:proofErr w:type="spellEnd"/>
      <w:r>
        <w:t xml:space="preserve"> allocation benefits agencies representing more than 50% of the Met Board votes.</w:t>
      </w:r>
    </w:p>
    <w:p w14:paraId="51A2612E" w14:textId="77777777" w:rsidR="009F4ED4" w:rsidRDefault="009F4ED4">
      <w:pPr>
        <w:spacing w:line="259" w:lineRule="auto"/>
      </w:pPr>
      <w:r>
        <w:lastRenderedPageBreak/>
        <w:br w:type="page"/>
      </w:r>
    </w:p>
    <w:p w14:paraId="22502A18" w14:textId="77777777" w:rsidR="00307B9F" w:rsidRDefault="00307B9F" w:rsidP="00D02F8F"/>
    <w:p w14:paraId="4B351C32" w14:textId="650B707B" w:rsidR="00D10235" w:rsidRDefault="00D10235" w:rsidP="00D10235">
      <w:pPr>
        <w:pStyle w:val="Caption"/>
        <w:keepNext/>
      </w:pPr>
      <w:r>
        <w:t xml:space="preserve">Table </w:t>
      </w:r>
      <w:r w:rsidR="00DF236E">
        <w:fldChar w:fldCharType="begin"/>
      </w:r>
      <w:r w:rsidR="00DF236E">
        <w:instrText xml:space="preserve"> STYLEREF 1 \s </w:instrText>
      </w:r>
      <w:r w:rsidR="00DF236E">
        <w:fldChar w:fldCharType="separate"/>
      </w:r>
      <w:r w:rsidR="009C6DFD">
        <w:rPr>
          <w:noProof/>
        </w:rPr>
        <w:t>4</w:t>
      </w:r>
      <w:r w:rsidR="00DF236E">
        <w:rPr>
          <w:noProof/>
        </w:rPr>
        <w:fldChar w:fldCharType="end"/>
      </w:r>
      <w:r w:rsidR="009C6DFD">
        <w:noBreakHyphen/>
      </w:r>
      <w:r w:rsidR="00DF236E">
        <w:fldChar w:fldCharType="begin"/>
      </w:r>
      <w:r w:rsidR="00DF236E">
        <w:instrText xml:space="preserve"> SEQ Table \* ARABIC \s 1 </w:instrText>
      </w:r>
      <w:r w:rsidR="00DF236E">
        <w:fldChar w:fldCharType="separate"/>
      </w:r>
      <w:r w:rsidR="009C6DFD">
        <w:rPr>
          <w:noProof/>
        </w:rPr>
        <w:t>2</w:t>
      </w:r>
      <w:r w:rsidR="00DF236E">
        <w:rPr>
          <w:noProof/>
        </w:rPr>
        <w:fldChar w:fldCharType="end"/>
      </w:r>
      <w:r>
        <w:t xml:space="preserve">. </w:t>
      </w:r>
      <w:r w:rsidR="00C53C00">
        <w:t>For each shortage level, shown are the</w:t>
      </w:r>
      <w:r>
        <w:t xml:space="preserve"> </w:t>
      </w:r>
      <w:proofErr w:type="gramStart"/>
      <w:r>
        <w:t>percentage</w:t>
      </w:r>
      <w:proofErr w:type="gramEnd"/>
      <w:r>
        <w:t xml:space="preserve"> of votes on the Met Board of Direct</w:t>
      </w:r>
      <w:r w:rsidR="00C53C00">
        <w:t xml:space="preserve">ors held by agencies that </w:t>
      </w:r>
      <w:r>
        <w:t>fare bett</w:t>
      </w:r>
      <w:r w:rsidR="00C53C00">
        <w:t xml:space="preserve">er under the </w:t>
      </w:r>
      <w:proofErr w:type="spellStart"/>
      <w:r w:rsidR="00C53C00">
        <w:t>BrenSAP</w:t>
      </w:r>
      <w:proofErr w:type="spellEnd"/>
      <w:r w:rsidR="00C53C00">
        <w:t xml:space="preserve"> than </w:t>
      </w:r>
      <w:r>
        <w:t xml:space="preserve">the WSAP. Under most shortage levels, agencies that benefit under </w:t>
      </w:r>
      <w:proofErr w:type="spellStart"/>
      <w:r>
        <w:t>BrenSAP</w:t>
      </w:r>
      <w:proofErr w:type="spellEnd"/>
      <w:r>
        <w:t xml:space="preserve"> would have majority voting power.</w:t>
      </w:r>
    </w:p>
    <w:p w14:paraId="38DE2240" w14:textId="3CB01C29" w:rsidR="00D02F8F" w:rsidRPr="00D02F8F" w:rsidRDefault="00D02F8F" w:rsidP="00D10235">
      <w:pPr>
        <w:pStyle w:val="Caption"/>
      </w:pPr>
      <w:r w:rsidRPr="004A6925">
        <w:rPr>
          <w:noProof/>
        </w:rPr>
        <w:drawing>
          <wp:inline distT="0" distB="0" distL="0" distR="0" wp14:anchorId="68A29EC7" wp14:editId="41B23460">
            <wp:extent cx="2914650" cy="3086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4650" cy="3086100"/>
                    </a:xfrm>
                    <a:prstGeom prst="rect">
                      <a:avLst/>
                    </a:prstGeom>
                    <a:noFill/>
                    <a:ln>
                      <a:noFill/>
                    </a:ln>
                  </pic:spPr>
                </pic:pic>
              </a:graphicData>
            </a:graphic>
          </wp:inline>
        </w:drawing>
      </w:r>
    </w:p>
    <w:p w14:paraId="336F1EBC" w14:textId="52CCA547" w:rsidR="00CE40EB" w:rsidRDefault="00A8638B" w:rsidP="00E43F24">
      <w:pPr>
        <w:pStyle w:val="Heading3"/>
      </w:pPr>
      <w:r>
        <w:t xml:space="preserve">Testing </w:t>
      </w:r>
      <w:proofErr w:type="spellStart"/>
      <w:r w:rsidR="00CE40EB">
        <w:t>BrenSAP</w:t>
      </w:r>
      <w:proofErr w:type="spellEnd"/>
      <w:r>
        <w:t xml:space="preserve"> Conservation Incentives</w:t>
      </w:r>
    </w:p>
    <w:p w14:paraId="2F01488D" w14:textId="77777777" w:rsidR="00CE40EB" w:rsidRPr="0091472D" w:rsidRDefault="00CE40EB" w:rsidP="00CE40EB">
      <w:pPr>
        <w:pStyle w:val="Heading4"/>
      </w:pPr>
      <w:r w:rsidRPr="0091472D">
        <w:t>Individual Agency Behavior Scenario Modeling</w:t>
      </w:r>
    </w:p>
    <w:p w14:paraId="27D0D008" w14:textId="7F103465" w:rsidR="00C77FD0" w:rsidRDefault="00C53C00" w:rsidP="00CE40EB">
      <w:r>
        <w:t xml:space="preserve">We </w:t>
      </w:r>
      <w:r w:rsidR="00F01FD3">
        <w:t>modeled</w:t>
      </w:r>
      <w:r>
        <w:t xml:space="preserve"> the effect of </w:t>
      </w:r>
      <w:r w:rsidR="00197D6B">
        <w:t xml:space="preserve">a </w:t>
      </w:r>
      <w:r w:rsidR="00C130BE">
        <w:t xml:space="preserve">10% </w:t>
      </w:r>
      <w:r w:rsidR="00197D6B">
        <w:t xml:space="preserve">increase and 10% decrease in </w:t>
      </w:r>
      <w:proofErr w:type="spellStart"/>
      <w:r w:rsidR="00197D6B">
        <w:t>gpcd</w:t>
      </w:r>
      <w:proofErr w:type="spellEnd"/>
      <w:r w:rsidR="00197D6B">
        <w:t xml:space="preserve"> on Long Beach’s </w:t>
      </w:r>
      <w:proofErr w:type="spellStart"/>
      <w:r w:rsidR="00197D6B">
        <w:t>BrenSAP</w:t>
      </w:r>
      <w:proofErr w:type="spellEnd"/>
      <w:r w:rsidR="00197D6B">
        <w:t xml:space="preserve"> allocation</w:t>
      </w:r>
      <w:r w:rsidR="00CE40EB" w:rsidRPr="0091472D">
        <w:t xml:space="preserve">. </w:t>
      </w:r>
      <w:r w:rsidR="00CE40EB">
        <w:t xml:space="preserve">The results demonstrate that </w:t>
      </w:r>
      <w:r w:rsidR="00C77FD0">
        <w:t xml:space="preserve">the allocation Long Beach receives under the </w:t>
      </w:r>
      <w:proofErr w:type="spellStart"/>
      <w:r w:rsidR="00C77FD0">
        <w:t>BrenSAP</w:t>
      </w:r>
      <w:proofErr w:type="spellEnd"/>
      <w:r w:rsidR="00C77FD0">
        <w:t xml:space="preserve"> remains the same with increased or decreased conservation. Although the </w:t>
      </w:r>
      <w:r w:rsidR="00071D1B">
        <w:t xml:space="preserve">allocation does not change, </w:t>
      </w:r>
      <w:r w:rsidR="00C77FD0">
        <w:t xml:space="preserve">conservation </w:t>
      </w:r>
      <w:r w:rsidR="00197D6B">
        <w:t>reduces</w:t>
      </w:r>
      <w:r w:rsidR="00C77FD0">
        <w:t xml:space="preserve"> the amount of water Long Beach would need to satisfy its demand</w:t>
      </w:r>
      <w:r w:rsidR="00071D1B">
        <w:t xml:space="preserve"> and therefore changes the allocation surplus or deficit th</w:t>
      </w:r>
      <w:r w:rsidR="00197D6B">
        <w:t>at Long Beach would experience.</w:t>
      </w:r>
    </w:p>
    <w:p w14:paraId="3199F8DA" w14:textId="60C88BDA" w:rsidR="00197D6B" w:rsidRDefault="00071D1B" w:rsidP="00CE40EB">
      <w:r>
        <w:t>C</w:t>
      </w:r>
      <w:r w:rsidR="00CE40EB">
        <w:t xml:space="preserve">ompared to the status quo, adopting more conservation would provide Long Beach with a larger allocation surplus or smaller allocation deficit under the </w:t>
      </w:r>
      <w:proofErr w:type="spellStart"/>
      <w:r w:rsidR="00CE40EB">
        <w:t>BrenSAP</w:t>
      </w:r>
      <w:proofErr w:type="spellEnd"/>
      <w:r w:rsidR="00CE40EB">
        <w:t xml:space="preserve"> for all shortage levels. Conversely, increasing water usage per capita by 10% compared to the status quo would result in larger </w:t>
      </w:r>
      <w:proofErr w:type="spellStart"/>
      <w:r w:rsidR="00CE40EB">
        <w:t>BrenSAP</w:t>
      </w:r>
      <w:proofErr w:type="spellEnd"/>
      <w:r w:rsidR="00CE40EB">
        <w:t xml:space="preserve"> allocation deficits under all shortage levels</w:t>
      </w:r>
      <w:r w:rsidR="00197D6B">
        <w:t>.</w:t>
      </w:r>
    </w:p>
    <w:p w14:paraId="5F4920D0" w14:textId="61D2B9A1" w:rsidR="00CE40EB" w:rsidRDefault="00C53C00" w:rsidP="00CE40EB">
      <w:r>
        <w:rPr>
          <w:noProof/>
        </w:rPr>
        <w:lastRenderedPageBreak/>
        <w:drawing>
          <wp:inline distT="0" distB="0" distL="0" distR="0" wp14:anchorId="18F41D73" wp14:editId="681A9373">
            <wp:extent cx="5257800" cy="327805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7800" cy="3278055"/>
                    </a:xfrm>
                    <a:prstGeom prst="rect">
                      <a:avLst/>
                    </a:prstGeom>
                    <a:noFill/>
                  </pic:spPr>
                </pic:pic>
              </a:graphicData>
            </a:graphic>
          </wp:inline>
        </w:drawing>
      </w:r>
    </w:p>
    <w:p w14:paraId="145EC418" w14:textId="6DB14632" w:rsidR="00C53C00" w:rsidRDefault="00C53C00" w:rsidP="00C53C00">
      <w:pPr>
        <w:pStyle w:val="Caption"/>
        <w:jc w:val="left"/>
      </w:pPr>
      <w:bookmarkStart w:id="45" w:name="_Toc416362761"/>
      <w:r>
        <w:t xml:space="preserve">Figure </w:t>
      </w:r>
      <w:r w:rsidR="00DF236E">
        <w:fldChar w:fldCharType="begin"/>
      </w:r>
      <w:r w:rsidR="00DF236E">
        <w:instrText xml:space="preserve"> STYLEREF 1 \s </w:instrText>
      </w:r>
      <w:r w:rsidR="00DF236E">
        <w:fldChar w:fldCharType="separate"/>
      </w:r>
      <w:r w:rsidR="00DC1192">
        <w:rPr>
          <w:noProof/>
        </w:rPr>
        <w:t>4</w:t>
      </w:r>
      <w:r w:rsidR="00DF236E">
        <w:rPr>
          <w:noProof/>
        </w:rPr>
        <w:fldChar w:fldCharType="end"/>
      </w:r>
      <w:r w:rsidR="00DC1192">
        <w:noBreakHyphen/>
      </w:r>
      <w:r w:rsidR="00DF236E">
        <w:fldChar w:fldCharType="begin"/>
      </w:r>
      <w:r w:rsidR="00DF236E">
        <w:instrText xml:space="preserve"> SEQ Figure \* ARABIC \s 1 </w:instrText>
      </w:r>
      <w:r w:rsidR="00DF236E">
        <w:fldChar w:fldCharType="separate"/>
      </w:r>
      <w:r w:rsidR="00DC1192">
        <w:rPr>
          <w:noProof/>
        </w:rPr>
        <w:t>5</w:t>
      </w:r>
      <w:r w:rsidR="00DF236E">
        <w:rPr>
          <w:noProof/>
        </w:rPr>
        <w:fldChar w:fldCharType="end"/>
      </w:r>
      <w:r>
        <w:t xml:space="preserve">. </w:t>
      </w:r>
      <w:proofErr w:type="gramStart"/>
      <w:r>
        <w:t xml:space="preserve">Long Beach Met water demand and </w:t>
      </w:r>
      <w:proofErr w:type="spellStart"/>
      <w:r>
        <w:t>BrenSAP</w:t>
      </w:r>
      <w:proofErr w:type="spellEnd"/>
      <w:r>
        <w:t xml:space="preserve"> (level 2 shortage) allocation for varying levels of conservation.</w:t>
      </w:r>
      <w:bookmarkEnd w:id="45"/>
      <w:proofErr w:type="gramEnd"/>
      <w:r>
        <w:t xml:space="preserve"> </w:t>
      </w:r>
    </w:p>
    <w:p w14:paraId="31D37BB8" w14:textId="6B0405C8" w:rsidR="00CE40EB" w:rsidRDefault="00CE40EB" w:rsidP="00C53C00">
      <w:r>
        <w:t xml:space="preserve">These results align with our expectations of how we designed the </w:t>
      </w:r>
      <w:proofErr w:type="spellStart"/>
      <w:r>
        <w:t>BrenSAP</w:t>
      </w:r>
      <w:proofErr w:type="spellEnd"/>
      <w:r>
        <w:t xml:space="preserve"> to provide an incentive for agencies to conserve as well as providing a disincentive to i</w:t>
      </w:r>
      <w:r w:rsidR="00C53C00">
        <w:t>ncrease per capita water usage.</w:t>
      </w:r>
    </w:p>
    <w:p w14:paraId="7B4C21B0" w14:textId="77777777" w:rsidR="00CE40EB" w:rsidRDefault="00CE40EB" w:rsidP="00CE40EB">
      <w:pPr>
        <w:pStyle w:val="Heading4"/>
      </w:pPr>
      <w:r w:rsidRPr="0091472D">
        <w:t>Met System-Wide Behavior Scenario Modeling</w:t>
      </w:r>
    </w:p>
    <w:p w14:paraId="32B553A0" w14:textId="25375A85" w:rsidR="00CE40EB" w:rsidRDefault="0037572E" w:rsidP="00CE40EB">
      <w:r>
        <w:t xml:space="preserve">The results of testing the effects of multiple agencies conserving more or less on </w:t>
      </w:r>
      <w:proofErr w:type="spellStart"/>
      <w:r>
        <w:t>BrenSAP</w:t>
      </w:r>
      <w:proofErr w:type="spellEnd"/>
      <w:r>
        <w:t xml:space="preserve"> allocation were the same as for testing Long Beach individually. While the </w:t>
      </w:r>
      <w:proofErr w:type="spellStart"/>
      <w:r>
        <w:t>BrenSAP</w:t>
      </w:r>
      <w:proofErr w:type="spellEnd"/>
      <w:r>
        <w:t xml:space="preserve"> allocation</w:t>
      </w:r>
      <w:r w:rsidR="00CE40EB">
        <w:t xml:space="preserve"> </w:t>
      </w:r>
      <w:r>
        <w:t xml:space="preserve">does not change based on conservation, </w:t>
      </w:r>
      <w:r w:rsidR="0070318D">
        <w:t>the amount of water demanded does change, resulting in an allocation surplus or deficit.</w:t>
      </w:r>
    </w:p>
    <w:p w14:paraId="59B8E508" w14:textId="28F61245" w:rsidR="0070318D" w:rsidRPr="00A66053" w:rsidRDefault="0070318D" w:rsidP="00CE40EB">
      <w:r>
        <w:t xml:space="preserve">Whereas previously under the WSAP agencies that conserved were harmed and agencies that increased usage were benefitted, the </w:t>
      </w:r>
      <w:proofErr w:type="spellStart"/>
      <w:r>
        <w:t>BrenSAP</w:t>
      </w:r>
      <w:proofErr w:type="spellEnd"/>
      <w:r>
        <w:t xml:space="preserve"> has flipped the incentives such that conserving agencies are now rewarded and agencies increasing their use are not.</w:t>
      </w:r>
    </w:p>
    <w:p w14:paraId="207C4578" w14:textId="77777777" w:rsidR="0070318D" w:rsidRDefault="0070318D" w:rsidP="0070318D">
      <w:pPr>
        <w:keepNext/>
        <w:jc w:val="center"/>
      </w:pPr>
      <w:r>
        <w:rPr>
          <w:noProof/>
        </w:rPr>
        <w:lastRenderedPageBreak/>
        <w:drawing>
          <wp:inline distT="0" distB="0" distL="0" distR="0" wp14:anchorId="454546CA" wp14:editId="5E9C7124">
            <wp:extent cx="5257800" cy="4028129"/>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7800" cy="4028129"/>
                    </a:xfrm>
                    <a:prstGeom prst="rect">
                      <a:avLst/>
                    </a:prstGeom>
                    <a:noFill/>
                  </pic:spPr>
                </pic:pic>
              </a:graphicData>
            </a:graphic>
          </wp:inline>
        </w:drawing>
      </w:r>
    </w:p>
    <w:p w14:paraId="28B00927" w14:textId="4838F70F" w:rsidR="00D10235" w:rsidRDefault="00D10235" w:rsidP="00D10235">
      <w:pPr>
        <w:pStyle w:val="Caption"/>
        <w:jc w:val="left"/>
      </w:pPr>
      <w:bookmarkStart w:id="46" w:name="_Toc416362762"/>
      <w:r>
        <w:t xml:space="preserve">Figure </w:t>
      </w:r>
      <w:r w:rsidR="00DF236E">
        <w:fldChar w:fldCharType="begin"/>
      </w:r>
      <w:r w:rsidR="00DF236E">
        <w:instrText xml:space="preserve"> STYLEREF 1 \s </w:instrText>
      </w:r>
      <w:r w:rsidR="00DF236E">
        <w:fldChar w:fldCharType="separate"/>
      </w:r>
      <w:r w:rsidR="00DC1192">
        <w:rPr>
          <w:noProof/>
        </w:rPr>
        <w:t>4</w:t>
      </w:r>
      <w:r w:rsidR="00DF236E">
        <w:rPr>
          <w:noProof/>
        </w:rPr>
        <w:fldChar w:fldCharType="end"/>
      </w:r>
      <w:r w:rsidR="00DC1192">
        <w:noBreakHyphen/>
      </w:r>
      <w:r w:rsidR="00DF236E">
        <w:fldChar w:fldCharType="begin"/>
      </w:r>
      <w:r w:rsidR="00DF236E">
        <w:instrText xml:space="preserve"> SEQ Figure \* ARABIC \s 1 </w:instrText>
      </w:r>
      <w:r w:rsidR="00DF236E">
        <w:fldChar w:fldCharType="separate"/>
      </w:r>
      <w:r w:rsidR="00DC1192">
        <w:rPr>
          <w:noProof/>
        </w:rPr>
        <w:t>6</w:t>
      </w:r>
      <w:r w:rsidR="00DF236E">
        <w:rPr>
          <w:noProof/>
        </w:rPr>
        <w:fldChar w:fldCharType="end"/>
      </w:r>
      <w:r>
        <w:t>. When agencies conserve more, they are rewarded with a surplus that can be sold. When agencies use more water, they no longer receive a larger allocation and will now have a demand that exceeds allocation.</w:t>
      </w:r>
      <w:bookmarkEnd w:id="46"/>
    </w:p>
    <w:p w14:paraId="0FED66C5" w14:textId="5E346E0E" w:rsidR="00A8638B" w:rsidRDefault="00A8638B" w:rsidP="001C3523">
      <w:pPr>
        <w:pStyle w:val="Heading3"/>
      </w:pPr>
      <w:r>
        <w:t>Analyzing the Potential Market</w:t>
      </w:r>
      <w:r w:rsidR="002576F6">
        <w:t xml:space="preserve"> for Allocations</w:t>
      </w:r>
    </w:p>
    <w:p w14:paraId="44DDA326" w14:textId="218C3C1B" w:rsidR="001C3523" w:rsidRDefault="001C3523" w:rsidP="00A8638B">
      <w:pPr>
        <w:pStyle w:val="Heading4"/>
      </w:pPr>
      <w:r>
        <w:t>Market Conditions</w:t>
      </w:r>
    </w:p>
    <w:p w14:paraId="05C8AF3E" w14:textId="3BE81B23" w:rsidR="001C3523" w:rsidRDefault="001C3523" w:rsidP="001C3523">
      <w:r>
        <w:t xml:space="preserve">A market for trading </w:t>
      </w:r>
      <w:r w:rsidR="0027242B">
        <w:t xml:space="preserve">use rights to conserved water </w:t>
      </w:r>
      <w:r>
        <w:t xml:space="preserve">could take many forms. </w:t>
      </w:r>
      <w:r w:rsidR="00B311F6">
        <w:t>To help think about the various arrangements that might define and direct trading, w</w:t>
      </w:r>
      <w:r>
        <w:t>e developed a flow path to explore the options that would potentially be available to agencies with either surpluses or deficits (</w:t>
      </w:r>
      <w:r w:rsidR="00C53C00">
        <w:fldChar w:fldCharType="begin"/>
      </w:r>
      <w:r w:rsidR="00C53C00">
        <w:instrText xml:space="preserve"> REF _Ref286078243 \h </w:instrText>
      </w:r>
      <w:r w:rsidR="00C53C00">
        <w:fldChar w:fldCharType="separate"/>
      </w:r>
      <w:r w:rsidR="00C53C00">
        <w:t xml:space="preserve">Figure </w:t>
      </w:r>
      <w:r w:rsidR="00C53C00">
        <w:rPr>
          <w:noProof/>
        </w:rPr>
        <w:t>4</w:t>
      </w:r>
      <w:r w:rsidR="00C53C00">
        <w:noBreakHyphen/>
      </w:r>
      <w:r w:rsidR="00C53C00">
        <w:rPr>
          <w:noProof/>
        </w:rPr>
        <w:t>7</w:t>
      </w:r>
      <w:r w:rsidR="00C53C00">
        <w:fldChar w:fldCharType="end"/>
      </w:r>
      <w:r>
        <w:t>). In developing this flow path, we considered the trading platform (brokered vs. non-brokered), trading mechanisms (auctions vs. spot markets vs. options contracts), banking and storage, and market price.</w:t>
      </w:r>
    </w:p>
    <w:p w14:paraId="7EF7871B" w14:textId="77777777" w:rsidR="001C3523" w:rsidRDefault="001C3523" w:rsidP="001C3523">
      <w:pPr>
        <w:jc w:val="center"/>
      </w:pPr>
      <w:r>
        <w:rPr>
          <w:noProof/>
        </w:rPr>
        <w:lastRenderedPageBreak/>
        <w:drawing>
          <wp:inline distT="0" distB="0" distL="0" distR="0" wp14:anchorId="23D77314" wp14:editId="1B668BF4">
            <wp:extent cx="5257800" cy="4137296"/>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t_options (3).jpg"/>
                    <pic:cNvPicPr/>
                  </pic:nvPicPr>
                  <pic:blipFill rotWithShape="1">
                    <a:blip r:embed="rId30">
                      <a:extLst>
                        <a:ext uri="{28A0092B-C50C-407E-A947-70E740481C1C}">
                          <a14:useLocalDpi xmlns:a14="http://schemas.microsoft.com/office/drawing/2010/main" val="0"/>
                        </a:ext>
                      </a:extLst>
                    </a:blip>
                    <a:srcRect l="41987" t="9015" r="1602" b="4871"/>
                    <a:stretch/>
                  </pic:blipFill>
                  <pic:spPr bwMode="auto">
                    <a:xfrm>
                      <a:off x="0" y="0"/>
                      <a:ext cx="5257800" cy="4137296"/>
                    </a:xfrm>
                    <a:prstGeom prst="rect">
                      <a:avLst/>
                    </a:prstGeom>
                    <a:ln>
                      <a:noFill/>
                    </a:ln>
                    <a:extLst>
                      <a:ext uri="{53640926-AAD7-44d8-BBD7-CCE9431645EC}">
                        <a14:shadowObscured xmlns:a14="http://schemas.microsoft.com/office/drawing/2010/main"/>
                      </a:ext>
                    </a:extLst>
                  </pic:spPr>
                </pic:pic>
              </a:graphicData>
            </a:graphic>
          </wp:inline>
        </w:drawing>
      </w:r>
    </w:p>
    <w:p w14:paraId="79070FBD" w14:textId="06A2120E" w:rsidR="001C3523" w:rsidRDefault="001C3523" w:rsidP="001C3523">
      <w:pPr>
        <w:pStyle w:val="Caption"/>
      </w:pPr>
      <w:bookmarkStart w:id="47" w:name="_Ref286078243"/>
      <w:bookmarkStart w:id="48" w:name="_Toc416362763"/>
      <w:r>
        <w:t xml:space="preserve">Figure </w:t>
      </w:r>
      <w:r w:rsidR="00DF236E">
        <w:fldChar w:fldCharType="begin"/>
      </w:r>
      <w:r w:rsidR="00DF236E">
        <w:instrText xml:space="preserve"> STYLEREF 1 \s </w:instrText>
      </w:r>
      <w:r w:rsidR="00DF236E">
        <w:fldChar w:fldCharType="separate"/>
      </w:r>
      <w:r w:rsidR="00DC1192">
        <w:rPr>
          <w:noProof/>
        </w:rPr>
        <w:t>4</w:t>
      </w:r>
      <w:r w:rsidR="00DF236E">
        <w:rPr>
          <w:noProof/>
        </w:rPr>
        <w:fldChar w:fldCharType="end"/>
      </w:r>
      <w:r w:rsidR="00DC1192">
        <w:noBreakHyphen/>
      </w:r>
      <w:r w:rsidR="00DF236E">
        <w:fldChar w:fldCharType="begin"/>
      </w:r>
      <w:r w:rsidR="00DF236E">
        <w:instrText xml:space="preserve"> SEQ Figure \* ARABIC \s 1 </w:instrText>
      </w:r>
      <w:r w:rsidR="00DF236E">
        <w:fldChar w:fldCharType="separate"/>
      </w:r>
      <w:r w:rsidR="00DC1192">
        <w:rPr>
          <w:noProof/>
        </w:rPr>
        <w:t>7</w:t>
      </w:r>
      <w:r w:rsidR="00DF236E">
        <w:rPr>
          <w:noProof/>
        </w:rPr>
        <w:fldChar w:fldCharType="end"/>
      </w:r>
      <w:bookmarkEnd w:id="47"/>
      <w:r>
        <w:t>. A market considerations flow path that illustrates the options available for the transfer of allocations among member agencies.</w:t>
      </w:r>
      <w:bookmarkEnd w:id="48"/>
    </w:p>
    <w:p w14:paraId="1EF3CC4F" w14:textId="5265E54E" w:rsidR="001C3523" w:rsidRDefault="001C3523" w:rsidP="001C3523">
      <w:r>
        <w:t xml:space="preserve">The flow path identifies the available options for agencies making decisions in the market. Each decision affects later decisions. For instance, trading an allocated </w:t>
      </w:r>
      <w:r w:rsidRPr="001C3D8E">
        <w:rPr>
          <w:i/>
        </w:rPr>
        <w:t>right to purchase</w:t>
      </w:r>
      <w:r>
        <w:t xml:space="preserve"> water has different repercussions to the agencies involved than </w:t>
      </w:r>
      <w:r w:rsidR="00F01FD3">
        <w:t>trading water</w:t>
      </w:r>
      <w:r>
        <w:t xml:space="preserve"> that has already been purchased by the selling agency. Equally important is whether </w:t>
      </w:r>
      <w:r w:rsidR="0027242B">
        <w:t xml:space="preserve">use </w:t>
      </w:r>
      <w:r>
        <w:t>rights to allocated water can be banked for future years. The ability to store an unused allocation has implications on forecasting future supplies and managing system capacities and delivery.</w:t>
      </w:r>
    </w:p>
    <w:p w14:paraId="2D36B5B0" w14:textId="6230FB65" w:rsidR="00643471" w:rsidRPr="00AF3064" w:rsidRDefault="00FA273A" w:rsidP="00AF3064">
      <w:pPr>
        <w:sectPr w:rsidR="00643471" w:rsidRPr="00AF3064" w:rsidSect="00C655BD">
          <w:footerReference w:type="default" r:id="rId31"/>
          <w:endnotePr>
            <w:numFmt w:val="decimal"/>
          </w:endnotePr>
          <w:pgSz w:w="12240" w:h="15840"/>
          <w:pgMar w:top="1800" w:right="1800" w:bottom="1800" w:left="2160" w:header="720" w:footer="720" w:gutter="0"/>
          <w:cols w:space="720"/>
        </w:sectPr>
      </w:pPr>
      <w:r>
        <w:t xml:space="preserve">All of the options will be important to consider if allocation trading is allowed, and different combinations of options selected can yield different market results. </w:t>
      </w:r>
      <w:r w:rsidR="00842F97">
        <w:t>However, f</w:t>
      </w:r>
      <w:r>
        <w:t xml:space="preserve">or the </w:t>
      </w:r>
      <w:r w:rsidR="001C3523">
        <w:t>purpose</w:t>
      </w:r>
      <w:r>
        <w:t>s</w:t>
      </w:r>
      <w:r w:rsidR="001C3523">
        <w:t xml:space="preserve"> of </w:t>
      </w:r>
      <w:r>
        <w:t xml:space="preserve">our market analysis, the focus was not on </w:t>
      </w:r>
      <w:r w:rsidR="00AF3064">
        <w:t>determining the</w:t>
      </w:r>
      <w:r w:rsidR="00842F97">
        <w:t xml:space="preserve"> best combination of options, but rather to demonstrate what possible benefits might arise from a market.</w:t>
      </w:r>
    </w:p>
    <w:p w14:paraId="176023BE" w14:textId="2B345912" w:rsidR="000E2C71" w:rsidRPr="002832B1" w:rsidRDefault="004D4DC3" w:rsidP="002C79BC">
      <w:pPr>
        <w:pStyle w:val="Heading1"/>
      </w:pPr>
      <w:bookmarkStart w:id="49" w:name="_Toc416611304"/>
      <w:r w:rsidRPr="002C79BC">
        <w:lastRenderedPageBreak/>
        <w:t>Discussion</w:t>
      </w:r>
      <w:bookmarkEnd w:id="49"/>
    </w:p>
    <w:p w14:paraId="5E47DD5B" w14:textId="77777777" w:rsidR="000E2C71" w:rsidRDefault="000E2C71" w:rsidP="000E2C71">
      <w:pPr>
        <w:pStyle w:val="Heading2"/>
      </w:pPr>
      <w:bookmarkStart w:id="50" w:name="_Toc416611305"/>
      <w:r>
        <w:t>Water conservation under the status quo (WSAP)</w:t>
      </w:r>
      <w:bookmarkEnd w:id="50"/>
    </w:p>
    <w:p w14:paraId="0603C1C8" w14:textId="77777777" w:rsidR="000E2C71" w:rsidRDefault="000E2C71" w:rsidP="000E2C71">
      <w:r>
        <w:t>Our analysis allowed us to quantitatively examine the question of why agencies should conserve water given the current system of water allocation in Southern California. We found that under Met’s existing drought allocation strategy there is not a strong incentive to conserve water because that water is deducted from an agency’s allocation. Agencies who proactively reduce their demand through conservation receive little benefit or security in the event of a drought.</w:t>
      </w:r>
    </w:p>
    <w:p w14:paraId="592DC157" w14:textId="77777777" w:rsidR="000E2C71" w:rsidRDefault="000E2C71" w:rsidP="000E2C71">
      <w:r>
        <w:t>We identified two specific issues in the WSAP that reduce the incentive to conserve:</w:t>
      </w:r>
    </w:p>
    <w:p w14:paraId="4B5EFC79" w14:textId="77777777" w:rsidR="000E2C71" w:rsidRDefault="000E2C71" w:rsidP="000E2C71">
      <w:r>
        <w:t>1. Under the WSAP, water that is conserved since the baseline period is deducted from the allocation. While the WSAP does include a ‘conservation credit’, the credit represents only a small portion of an agency’s conservation reductions.</w:t>
      </w:r>
    </w:p>
    <w:p w14:paraId="16088DF1" w14:textId="77777777" w:rsidR="000E2C71" w:rsidRDefault="000E2C71" w:rsidP="000E2C71">
      <w:proofErr w:type="gramStart"/>
      <w:r>
        <w:t>2. A member agency’s allocation is largely based on a rolling historical average of the most recent years such that the more it uses</w:t>
      </w:r>
      <w:proofErr w:type="gramEnd"/>
      <w:r>
        <w:t xml:space="preserve">, </w:t>
      </w:r>
      <w:proofErr w:type="gramStart"/>
      <w:r>
        <w:t>the more it is apportioned</w:t>
      </w:r>
      <w:proofErr w:type="gramEnd"/>
      <w:r>
        <w:t>.</w:t>
      </w:r>
    </w:p>
    <w:p w14:paraId="613A242D" w14:textId="77777777" w:rsidR="000E2C71" w:rsidRDefault="000E2C71" w:rsidP="000E2C71">
      <w:r>
        <w:t xml:space="preserve">Our exploration of conservation scenarios illustrates that agencies are better off </w:t>
      </w:r>
      <w:r w:rsidRPr="00E2637C">
        <w:rPr>
          <w:i/>
        </w:rPr>
        <w:t>increasing</w:t>
      </w:r>
      <w:r>
        <w:t xml:space="preserve"> their water demand in advance of a drought in order to secure a larger share of supply during a shortage, rather than conserving water to prepare for when supplies are limited. Ironically, this behavior can actually increase the probability that the system will go into shortage and may also the increase the shortage level. </w:t>
      </w:r>
    </w:p>
    <w:p w14:paraId="0E8AB315" w14:textId="77777777" w:rsidR="000E2C71" w:rsidRDefault="000E2C71" w:rsidP="000E2C71">
      <w:r>
        <w:t xml:space="preserve">The WSAP is designed to satisfy as much of an agency’s demand for water as it </w:t>
      </w:r>
      <w:proofErr w:type="gramStart"/>
      <w:r>
        <w:t>can,</w:t>
      </w:r>
      <w:proofErr w:type="gramEnd"/>
      <w:r>
        <w:t xml:space="preserve"> regardless of whether the agency’s per capita usage is high or low. In this regard, the WSAP avoids large reductions to an agency’s allocation that might be politically controversial, but in aiming for political expediency, it provides perverse incentives for conservation.</w:t>
      </w:r>
    </w:p>
    <w:p w14:paraId="7A04F335" w14:textId="2A1AC824" w:rsidR="000E2C71" w:rsidRDefault="000E2C71" w:rsidP="000E2C71">
      <w:r>
        <w:t>Another</w:t>
      </w:r>
      <w:r w:rsidRPr="0094048A">
        <w:t xml:space="preserve"> element that the WSAP does not </w:t>
      </w:r>
      <w:r>
        <w:t>provide for</w:t>
      </w:r>
      <w:r w:rsidRPr="0094048A">
        <w:t xml:space="preserve"> is a </w:t>
      </w:r>
      <w:proofErr w:type="gramStart"/>
      <w:r w:rsidRPr="0094048A">
        <w:t>well-defined</w:t>
      </w:r>
      <w:proofErr w:type="gramEnd"/>
      <w:r w:rsidRPr="0094048A">
        <w:t xml:space="preserve"> and secure </w:t>
      </w:r>
      <w:r w:rsidR="0027242B">
        <w:t xml:space="preserve">use </w:t>
      </w:r>
      <w:r w:rsidRPr="0094048A">
        <w:t>right to purchase water. The WSAP is conceptually an improvement over Preferential Rights in that it better reflects all agencies</w:t>
      </w:r>
      <w:r>
        <w:t>’</w:t>
      </w:r>
      <w:r w:rsidRPr="0094048A">
        <w:t xml:space="preserve"> demands and provides flexibility to adapt to an agenc</w:t>
      </w:r>
      <w:r>
        <w:t>y’s changes over time. U</w:t>
      </w:r>
      <w:r w:rsidRPr="0094048A">
        <w:t xml:space="preserve">nlike Preferential Rights, the WSAP allocation does not </w:t>
      </w:r>
      <w:r>
        <w:t>define</w:t>
      </w:r>
      <w:r w:rsidRPr="0094048A">
        <w:t xml:space="preserve"> a </w:t>
      </w:r>
      <w:r>
        <w:t xml:space="preserve">pre-determined </w:t>
      </w:r>
      <w:r w:rsidRPr="0094048A">
        <w:t xml:space="preserve">quantity that can be purchased. </w:t>
      </w:r>
      <w:r w:rsidRPr="0094048A">
        <w:lastRenderedPageBreak/>
        <w:t xml:space="preserve">Rather, the WSAP </w:t>
      </w:r>
      <w:r>
        <w:t>is a form of price control, determining</w:t>
      </w:r>
      <w:r w:rsidRPr="0094048A">
        <w:t xml:space="preserve"> the amount of water </w:t>
      </w:r>
      <w:r>
        <w:t>an agency may purchase at a given price (under shortage) as a function of their demand. Th</w:t>
      </w:r>
      <w:r w:rsidRPr="0094048A">
        <w:t>e distinction between Preferential Rights or any other guaranteed right-to-water system is significant when it comes to conserv</w:t>
      </w:r>
      <w:r>
        <w:t>ation. If an agency had a predictable and guaranteed allocation</w:t>
      </w:r>
      <w:r w:rsidRPr="0094048A">
        <w:t xml:space="preserve">, then conservation could provide </w:t>
      </w:r>
      <w:r>
        <w:t>value by creating</w:t>
      </w:r>
      <w:r w:rsidRPr="0094048A">
        <w:t xml:space="preserve"> a surplus</w:t>
      </w:r>
      <w:r>
        <w:t xml:space="preserve"> that </w:t>
      </w:r>
      <w:r w:rsidRPr="0094048A">
        <w:t>could then become a</w:t>
      </w:r>
      <w:r>
        <w:t>n asset</w:t>
      </w:r>
      <w:r w:rsidRPr="0094048A">
        <w:t>.</w:t>
      </w:r>
    </w:p>
    <w:p w14:paraId="2AF33C81" w14:textId="77777777" w:rsidR="000E2C71" w:rsidRDefault="000E2C71" w:rsidP="000E2C71">
      <w:pPr>
        <w:pStyle w:val="Heading2"/>
      </w:pPr>
      <w:bookmarkStart w:id="51" w:name="_Toc416611306"/>
      <w:r>
        <w:t xml:space="preserve">Water conservation under the </w:t>
      </w:r>
      <w:proofErr w:type="spellStart"/>
      <w:r>
        <w:t>BrenSAP</w:t>
      </w:r>
      <w:bookmarkEnd w:id="51"/>
      <w:proofErr w:type="spellEnd"/>
    </w:p>
    <w:p w14:paraId="5064EB44" w14:textId="55EFA2E4" w:rsidR="000E2C71" w:rsidRDefault="000E2C71" w:rsidP="000E2C71">
      <w:r>
        <w:t xml:space="preserve">From the perspective of conservation, the </w:t>
      </w:r>
      <w:proofErr w:type="spellStart"/>
      <w:r>
        <w:t>BrenSAP</w:t>
      </w:r>
      <w:proofErr w:type="spellEnd"/>
      <w:r>
        <w:t xml:space="preserve"> allocation system appears to provide a number of advantages over the current WSAP used by Met</w:t>
      </w:r>
      <w:r w:rsidR="00DF236E">
        <w:t xml:space="preserve">. The </w:t>
      </w:r>
      <w:proofErr w:type="spellStart"/>
      <w:r w:rsidR="00DF236E">
        <w:t>BrenSAP</w:t>
      </w:r>
      <w:proofErr w:type="spellEnd"/>
      <w:r w:rsidR="00DF236E">
        <w:t xml:space="preserve"> encourage</w:t>
      </w:r>
      <w:r>
        <w:t>s conservation, not just in times of drought, but during all supply conditions. As more agencies proactively manage their demand, there is greater potential for Met to avoid instituting a shortage allocation plan, or if they do, reduce the severity of the required reductions.</w:t>
      </w:r>
    </w:p>
    <w:p w14:paraId="4AA277B4" w14:textId="77777777" w:rsidR="000E2C71" w:rsidRDefault="000E2C71" w:rsidP="000E2C71">
      <w:r>
        <w:t xml:space="preserve">The </w:t>
      </w:r>
      <w:proofErr w:type="spellStart"/>
      <w:r>
        <w:t>BrenSAP</w:t>
      </w:r>
      <w:proofErr w:type="spellEnd"/>
      <w:r>
        <w:t xml:space="preserve"> is able to do this because it establishes a static benchmark from which to compare water use over time. The benchmark represents the per capita water use by which an agency is measured, and allocates a share of Met’s total supply accordingly. This provides flexibility to allow for future population growth, and also provides a guide to compare an agency’s use with their allocation. If an agency maintains their per capita water use, even as population increases, no significant effect occurs. If an agency’s per capita water use increases, they will be need to reduce demand or find additional water from a source other than Met. If an agency is proactive and reduces their per capita water use, they are rewarded with a surplus. In doing so, the agency creates opportunity that did not exist under the WSAP: opportunity to better evaluate water use and, if desired, to manage water use to claim the benefits from conservation.</w:t>
      </w:r>
    </w:p>
    <w:p w14:paraId="55D712B9" w14:textId="77777777" w:rsidR="000E2C71" w:rsidRPr="009A3B21" w:rsidRDefault="000E2C71" w:rsidP="000E2C71">
      <w:r>
        <w:t xml:space="preserve">Agencies receive enhanced benefits from conservation when they can trade their surplus water to other agencies. In a market, the surplus water is redistributed through the market process to those agencies </w:t>
      </w:r>
      <w:proofErr w:type="gramStart"/>
      <w:r>
        <w:t>who</w:t>
      </w:r>
      <w:proofErr w:type="gramEnd"/>
      <w:r>
        <w:t xml:space="preserve"> value it most. Agencies who can afford to conserve will do so receive an additional incentive from doing so, and those agencies that demand more than their allocation are able to get more water by purchasing it on the market.</w:t>
      </w:r>
    </w:p>
    <w:p w14:paraId="36F63759" w14:textId="77777777" w:rsidR="000E2C71" w:rsidRDefault="000E2C71" w:rsidP="000E2C71">
      <w:pPr>
        <w:pStyle w:val="Heading2"/>
      </w:pPr>
      <w:bookmarkStart w:id="52" w:name="_Toc416611307"/>
      <w:r>
        <w:lastRenderedPageBreak/>
        <w:t>Benefits of establishing a market for conserved water</w:t>
      </w:r>
      <w:bookmarkEnd w:id="52"/>
    </w:p>
    <w:p w14:paraId="1EB619A4" w14:textId="607CC8A5" w:rsidR="000E2C71" w:rsidRDefault="000E2C71" w:rsidP="000E2C71">
      <w:r>
        <w:t xml:space="preserve">For an allocation to incentivize conservation it must provide </w:t>
      </w:r>
      <w:r w:rsidR="0027242B">
        <w:t xml:space="preserve">use </w:t>
      </w:r>
      <w:r>
        <w:t>rights that are clearly defined, predictable, and secure. Met’s current system provides agencies with an allocation of water as a function of their recent use, which is inherently insecure. As agencies conserve, that quantity decreases and the incentive for conservation is lost.</w:t>
      </w:r>
    </w:p>
    <w:p w14:paraId="4B0266EB" w14:textId="2E2A4B4B" w:rsidR="000E2C71" w:rsidRDefault="000E2C71" w:rsidP="000E2C71">
      <w:r>
        <w:t xml:space="preserve">One solution is to ensure a </w:t>
      </w:r>
      <w:r w:rsidR="0027242B">
        <w:t xml:space="preserve">use </w:t>
      </w:r>
      <w:r>
        <w:t>right to a share of Met’s supply. If an agency knows how much water it can purchase at a particular rate, it may choose to reduce its water enough to generate a surplus. The allocation then becomes an asset that agencies can incorporate into management decisions. With that asset come options: an agency could potentially use their full allocation, trade a portion for profit, or even store some of it as insurance for future shortages.</w:t>
      </w:r>
    </w:p>
    <w:p w14:paraId="36332402" w14:textId="27973E8F" w:rsidR="000E2C71" w:rsidRDefault="000E2C71" w:rsidP="000E2C71">
      <w:r>
        <w:t xml:space="preserve">If Met were to adopt an allocation system that grants a secure </w:t>
      </w:r>
      <w:r w:rsidR="0027242B">
        <w:t xml:space="preserve">use </w:t>
      </w:r>
      <w:r>
        <w:t xml:space="preserve">right, it follows that a market could be established to enable trade. </w:t>
      </w:r>
      <w:r w:rsidRPr="00226191">
        <w:t>The Met service ar</w:t>
      </w:r>
      <w:r w:rsidR="00A211CD">
        <w:t>ea represents an ideal platform</w:t>
      </w:r>
      <w:r w:rsidRPr="00226191">
        <w:t xml:space="preserve"> for such a market because its member agencies share a robust and interconnected water infrastructure. Most trades are therefore reduced to transfers of paper water rights in which conveyance is not a concern, keeping transaction costs low.</w:t>
      </w:r>
      <w:r>
        <w:t xml:space="preserve"> Met also has the information necessary to effectively track transfers and ensure deliveries, and the authority and resources to administer such a program.</w:t>
      </w:r>
    </w:p>
    <w:p w14:paraId="62F92403" w14:textId="77777777" w:rsidR="000E2C71" w:rsidRDefault="000E2C71" w:rsidP="000E2C71">
      <w:pPr>
        <w:pStyle w:val="Heading3"/>
      </w:pPr>
      <w:r>
        <w:t>Potential Economic Gains From Trading Conserved Water</w:t>
      </w:r>
    </w:p>
    <w:p w14:paraId="0AE76547" w14:textId="7047C445" w:rsidR="000E2C71" w:rsidRDefault="000E2C71" w:rsidP="000E2C71">
      <w:r>
        <w:t xml:space="preserve">Providing agencies a claim to their conserved water can provide conservation incentives beyond just the trading among surplus and deficit agencies that result from the allocation. A </w:t>
      </w:r>
      <w:r w:rsidR="0027242B">
        <w:t xml:space="preserve">use </w:t>
      </w:r>
      <w:r>
        <w:t xml:space="preserve">right to conserved water creates the opportunity for the agencies to engage with each other to conserve water and meet water demands at a lower cost than would be otherwise possible. </w:t>
      </w:r>
    </w:p>
    <w:p w14:paraId="6A2514A1" w14:textId="77777777" w:rsidR="000E2C71" w:rsidRDefault="000E2C71" w:rsidP="000E2C71">
      <w:r>
        <w:t>The true cost for an agency to conserve water includes the physical cost of implementing a conservation measure, but also includes the forgone value that could have been derived had water not been conserved at all. Because of this, the cost of conservation across Met member agencies differs. An agency’s decision to engage in conservation will depend not only on what conservation opportunities are available, but also how an agency’s customers value each unit of water.</w:t>
      </w:r>
    </w:p>
    <w:p w14:paraId="2B955B67" w14:textId="77777777" w:rsidR="000E2C71" w:rsidRDefault="000E2C71" w:rsidP="000E2C71">
      <w:r>
        <w:lastRenderedPageBreak/>
        <w:t xml:space="preserve">Under the </w:t>
      </w:r>
      <w:proofErr w:type="spellStart"/>
      <w:r>
        <w:t>BrenSAP</w:t>
      </w:r>
      <w:proofErr w:type="spellEnd"/>
      <w:r>
        <w:t>, the ability for agencies to keep the surplus generated by conservation and trade that portion of their allocation to other agencies allows agencies with high conservation costs to pay agencies with low conservation costs to conserve in exchange for the surplus water. This kind of transaction benefits the high conservation cost agencies because they have the option to meet their water demands or conserve water at a price lower than if they had to pursue conservation on their own, and the transaction benefits the low conservation cost agencies because they can receive payment that exceeds their cost of conservation.</w:t>
      </w:r>
    </w:p>
    <w:p w14:paraId="1BE03C03" w14:textId="77777777" w:rsidR="000E2C71" w:rsidRDefault="000E2C71" w:rsidP="000E2C71">
      <w:r>
        <w:rPr>
          <w:noProof/>
        </w:rPr>
        <w:drawing>
          <wp:inline distT="0" distB="0" distL="0" distR="0" wp14:anchorId="5EB67DAC" wp14:editId="1A001098">
            <wp:extent cx="5257800" cy="30986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0" cy="3098697"/>
                    </a:xfrm>
                    <a:prstGeom prst="rect">
                      <a:avLst/>
                    </a:prstGeom>
                    <a:noFill/>
                  </pic:spPr>
                </pic:pic>
              </a:graphicData>
            </a:graphic>
          </wp:inline>
        </w:drawing>
      </w:r>
    </w:p>
    <w:p w14:paraId="5564032D" w14:textId="0C41807C" w:rsidR="000E2C71" w:rsidRDefault="000E2C71" w:rsidP="002C79BC">
      <w:pPr>
        <w:pStyle w:val="Caption"/>
      </w:pPr>
      <w:bookmarkStart w:id="53" w:name="_Ref416014697"/>
      <w:bookmarkStart w:id="54" w:name="_Toc416362764"/>
      <w:r>
        <w:t xml:space="preserve">Figure </w:t>
      </w:r>
      <w:r w:rsidR="00DF236E">
        <w:fldChar w:fldCharType="begin"/>
      </w:r>
      <w:r w:rsidR="00DF236E">
        <w:instrText xml:space="preserve"> STYLEREF 1 \s </w:instrText>
      </w:r>
      <w:r w:rsidR="00DF236E">
        <w:fldChar w:fldCharType="separate"/>
      </w:r>
      <w:r w:rsidR="00DC1192">
        <w:rPr>
          <w:noProof/>
        </w:rPr>
        <w:t>5</w:t>
      </w:r>
      <w:r w:rsidR="00DF236E">
        <w:rPr>
          <w:noProof/>
        </w:rPr>
        <w:fldChar w:fldCharType="end"/>
      </w:r>
      <w:r w:rsidR="00DC1192">
        <w:noBreakHyphen/>
      </w:r>
      <w:r w:rsidR="00DF236E">
        <w:fldChar w:fldCharType="begin"/>
      </w:r>
      <w:r w:rsidR="00DF236E">
        <w:instrText xml:space="preserve"> SEQ Figure \* ARABIC \s 1 </w:instrText>
      </w:r>
      <w:r w:rsidR="00DF236E">
        <w:fldChar w:fldCharType="separate"/>
      </w:r>
      <w:r w:rsidR="00DC1192">
        <w:rPr>
          <w:noProof/>
        </w:rPr>
        <w:t>1</w:t>
      </w:r>
      <w:r w:rsidR="00DF236E">
        <w:rPr>
          <w:noProof/>
        </w:rPr>
        <w:fldChar w:fldCharType="end"/>
      </w:r>
      <w:bookmarkEnd w:id="53"/>
      <w:r>
        <w:t xml:space="preserve">. </w:t>
      </w:r>
      <w:r w:rsidRPr="000E2C71">
        <w:t>Conservation cos</w:t>
      </w:r>
      <w:r w:rsidR="006B2FA7">
        <w:t>ts for two agencies can be mode</w:t>
      </w:r>
      <w:r w:rsidRPr="000E2C71">
        <w:t xml:space="preserve">led as demand curves that reflect the value of water to each agency. As agencies conserve, moving from right to left on this diagram, the marginal cost of conservation increases because the value of the next unit of water increases. In this stylized example, Agencies A and B both use 100 AF/year, but Agency A has a more inelastic demand curve, and hence higher average conservation costs (perhaps due to demand hardening or a consumer preference for green lawns). In a market, Agency A can pay Agency B to conserve 25 AF of water, at a total cost that is less than its own costs to conserve. Agency A gains </w:t>
      </w:r>
      <w:r w:rsidR="0027242B">
        <w:t xml:space="preserve">use </w:t>
      </w:r>
      <w:r w:rsidRPr="000E2C71">
        <w:t>rights to the surplus water that is created. Meanwhile, Agency B gets paid more than its own costs of conservation, so it makes a profit.</w:t>
      </w:r>
      <w:bookmarkEnd w:id="54"/>
    </w:p>
    <w:p w14:paraId="17AEA1EB" w14:textId="6EBB66E8" w:rsidR="000E2C71" w:rsidRDefault="000E2C71" w:rsidP="000E2C71">
      <w:r>
        <w:fldChar w:fldCharType="begin"/>
      </w:r>
      <w:r>
        <w:instrText xml:space="preserve"> REF _Ref416014697 \h </w:instrText>
      </w:r>
      <w:r>
        <w:fldChar w:fldCharType="separate"/>
      </w:r>
      <w:r>
        <w:t xml:space="preserve">Figure </w:t>
      </w:r>
      <w:r>
        <w:rPr>
          <w:noProof/>
        </w:rPr>
        <w:t>5</w:t>
      </w:r>
      <w:r>
        <w:noBreakHyphen/>
      </w:r>
      <w:r>
        <w:rPr>
          <w:noProof/>
        </w:rPr>
        <w:t>1</w:t>
      </w:r>
      <w:r>
        <w:fldChar w:fldCharType="end"/>
      </w:r>
      <w:r>
        <w:t xml:space="preserve"> represent two agencies w</w:t>
      </w:r>
      <w:r w:rsidR="007B1764">
        <w:t xml:space="preserve">ith a demand for 100 </w:t>
      </w:r>
      <w:r>
        <w:t xml:space="preserve">AF of water. The downward sloping blue lines represent each agency’s cost of conservation, and the price of conserved water on the y-axis includes the cost to conserve and the value of that water to its users. With each AF of water conserved, the cost of </w:t>
      </w:r>
      <w:r>
        <w:lastRenderedPageBreak/>
        <w:t xml:space="preserve">conservation becomes increasingly higher. The least costly </w:t>
      </w:r>
      <w:proofErr w:type="gramStart"/>
      <w:r>
        <w:t>acre foot</w:t>
      </w:r>
      <w:proofErr w:type="gramEnd"/>
      <w:r>
        <w:t xml:space="preserve"> for an agency to conserve will be the first acre foot they conserve. With each subsequent acre-foot an agency conserves, the more costly conservation is to that agency. Another way to interpret </w:t>
      </w:r>
      <w:r>
        <w:fldChar w:fldCharType="begin"/>
      </w:r>
      <w:r>
        <w:instrText xml:space="preserve"> REF _Ref416014697 \h </w:instrText>
      </w:r>
      <w:r>
        <w:fldChar w:fldCharType="separate"/>
      </w:r>
      <w:r>
        <w:t xml:space="preserve">Figure </w:t>
      </w:r>
      <w:r>
        <w:rPr>
          <w:noProof/>
        </w:rPr>
        <w:t>5</w:t>
      </w:r>
      <w:r>
        <w:noBreakHyphen/>
      </w:r>
      <w:r>
        <w:rPr>
          <w:noProof/>
        </w:rPr>
        <w:t>1</w:t>
      </w:r>
      <w:r>
        <w:fldChar w:fldCharType="end"/>
      </w:r>
      <w:r>
        <w:t xml:space="preserve"> is that if the demand for water is 100 AF, the value of water increases for every unit that is no longer available to meet demand. This is why the conservation cost curve goes up on the chart as the quantity of water </w:t>
      </w:r>
      <w:r w:rsidR="00332B3B">
        <w:t>demanded decreases to the left.</w:t>
      </w:r>
    </w:p>
    <w:p w14:paraId="21866873" w14:textId="7827022A" w:rsidR="000E2C71" w:rsidRDefault="000E2C71" w:rsidP="000E2C71">
      <w:r>
        <w:t xml:space="preserve">In this example, Agency A represents an agency with a high cost of conservation, and Agency B is an agency with a lower cost of conservation. If Agency A was required to conserve 25%, such as under the Governor’s 2015 mandatory water reductions, then without the ability to keep conserved water and trade surplus, as proposed under the </w:t>
      </w:r>
      <w:proofErr w:type="spellStart"/>
      <w:r>
        <w:t>BrenSAP</w:t>
      </w:r>
      <w:proofErr w:type="spellEnd"/>
      <w:r>
        <w:t xml:space="preserve">, Agency A would have to incur its own high costs to achieve that conservation. However, the ability to trade surplus generated through conservation, as permitted with the </w:t>
      </w:r>
      <w:proofErr w:type="spellStart"/>
      <w:r>
        <w:t>BrenSAP</w:t>
      </w:r>
      <w:proofErr w:type="spellEnd"/>
      <w:r>
        <w:t>, allows Agency A to achieve conservation more efficiently. Agency A could pay Agency B, an agency with lower costs of conservation, to implement conservation measures in the Agency B service area. In return for the payment, Agency A would receive the credit for conservation if seeking to meet the Governor’s mandate, or Agency A could receive Agency B’s surplus if it was seeking additio</w:t>
      </w:r>
      <w:r w:rsidR="00332B3B">
        <w:t>nal supply.</w:t>
      </w:r>
    </w:p>
    <w:p w14:paraId="3C61C078" w14:textId="77777777" w:rsidR="000E2C71" w:rsidRPr="00D86ED1" w:rsidRDefault="000E2C71" w:rsidP="000E2C71">
      <w:r>
        <w:t>This type of mutually beneficial transaction could be pursued by all Met agencies such that Met system-wide conservation could be achieved in the most cost efficient manner possible. As a result, agencies acting in their own best interests are also simultaneously promoting conservation and efficiency improvements across the system as a whole.</w:t>
      </w:r>
    </w:p>
    <w:p w14:paraId="0D219A62" w14:textId="77777777" w:rsidR="000E2C71" w:rsidRDefault="000E2C71" w:rsidP="000E2C71">
      <w:pPr>
        <w:pStyle w:val="Heading2"/>
        <w:rPr>
          <w:rStyle w:val="Heading3Char"/>
        </w:rPr>
      </w:pPr>
      <w:bookmarkStart w:id="55" w:name="_Toc416611308"/>
      <w:r>
        <w:rPr>
          <w:rStyle w:val="Heading3Char"/>
        </w:rPr>
        <w:t>Challenges of Allocating Water</w:t>
      </w:r>
      <w:bookmarkEnd w:id="55"/>
    </w:p>
    <w:p w14:paraId="5D2C4C76" w14:textId="77777777" w:rsidR="000E2C71" w:rsidRDefault="000E2C71" w:rsidP="000E2C71">
      <w:r>
        <w:t xml:space="preserve">The </w:t>
      </w:r>
      <w:proofErr w:type="spellStart"/>
      <w:r>
        <w:t>BrenSAP</w:t>
      </w:r>
      <w:proofErr w:type="spellEnd"/>
      <w:r>
        <w:t xml:space="preserve"> allocation system illustrates some of the benefits that could be found in applying a new method for distributing and managing water. However, our process is only a rough sketch for what might be done through allocating water to promote conservation. While we present a conceptual example of how two agencies may interact, a more predictive look at the full range of interaction between all Met member agencies is subject to many complex and highly dynamic variables. The ability of an agency to secure the benefits of their conservation will depend on that agency’s costs of conservation, the other Met member agencies’ costs of conservation, the prices of water established by Met, the design of the </w:t>
      </w:r>
      <w:r>
        <w:lastRenderedPageBreak/>
        <w:t>allocation system, and the constraints imposed by the market platform structure and conditions of trade.</w:t>
      </w:r>
    </w:p>
    <w:p w14:paraId="077E20D0" w14:textId="77777777" w:rsidR="000E2C71" w:rsidRDefault="000E2C71" w:rsidP="000E2C71">
      <w:r>
        <w:t xml:space="preserve">The process we outline in this document is not intended to be “the” solution, rather our goal has been simply to explore the potential for change to occur that might better address the increasing demands for water on an increasingly limited supply. Our hope through this exercise is to stimulate dialogue and creative thinking in how to respond to that issue. Through our research, we identified key factors with the current system that appear to limit conservation, reviewed alternatives, and present a logical and reasonable approach to thinking about a specific question, which is how to design an allocation system that promotes conservation. Ultimately, the details of a change to the system will be the result of much more in-depth analysis, and negotiation among the parties involved and affected. </w:t>
      </w:r>
    </w:p>
    <w:p w14:paraId="0CBD8C27" w14:textId="18E4F01C" w:rsidR="00AC0D5A" w:rsidRDefault="000E2C71" w:rsidP="000E2C71">
      <w:r>
        <w:t>Our system assigns shares to users of a scarce resource. In doing so, the allocations effectively produce winners and losers in terms of how those shares meet the demands on each agency. Therefore the assignment shares, and the opportunities provided to agencies through allocation, would inherently generate debate, especially for those agencies whose allocation is reduced from previous amounts. Adoption of a new system is therefore not only a logistical problem but a political one as well. This is particularly true under Met governance where member agencies themselves have representation and influence in the management of Met water supplies. In developing our approach, we also took political considerations into account and attempted to design a system that maintains a balance in the water demands between surplus and deficit agencies, as well as preserves the revenue to Met. Despite this, as previously stated, we recognize that the complexity of issues and the political negotiation that must occur is much more intricate than our simplified approach may suggest. However, as difficult as the political negotiations might be, it is evident that new and better mechanisms to motivate conservation and efficiently distribute water supplies are needed. Hopefully our research highlights the considerations that must be contemplated and provides an o</w:t>
      </w:r>
      <w:r w:rsidR="00CB7392">
        <w:t xml:space="preserve">utline toward developing a </w:t>
      </w:r>
      <w:r>
        <w:t>workable solution.</w:t>
      </w:r>
    </w:p>
    <w:p w14:paraId="21DC2DED" w14:textId="77777777" w:rsidR="00AC0D5A" w:rsidRDefault="00AC0D5A">
      <w:pPr>
        <w:spacing w:line="259" w:lineRule="auto"/>
      </w:pPr>
      <w:r>
        <w:br w:type="page"/>
      </w:r>
    </w:p>
    <w:p w14:paraId="6D4C9756" w14:textId="77777777" w:rsidR="00FB797D" w:rsidRDefault="00FB797D" w:rsidP="00BA544D">
      <w:pPr>
        <w:pStyle w:val="Heading1"/>
        <w:sectPr w:rsidR="00FB797D" w:rsidSect="00C655BD">
          <w:footerReference w:type="default" r:id="rId33"/>
          <w:endnotePr>
            <w:numFmt w:val="decimal"/>
          </w:endnotePr>
          <w:pgSz w:w="12240" w:h="15840"/>
          <w:pgMar w:top="1800" w:right="1800" w:bottom="1800" w:left="2160" w:header="720" w:footer="720" w:gutter="0"/>
          <w:cols w:space="720"/>
        </w:sectPr>
      </w:pPr>
    </w:p>
    <w:p w14:paraId="7F75B1EF" w14:textId="364E1A1D" w:rsidR="009A3B21" w:rsidRPr="009A3B21" w:rsidRDefault="009A3B21" w:rsidP="00BA544D">
      <w:pPr>
        <w:pStyle w:val="Heading1"/>
      </w:pPr>
      <w:bookmarkStart w:id="56" w:name="_Toc416611309"/>
      <w:r>
        <w:lastRenderedPageBreak/>
        <w:t>C</w:t>
      </w:r>
      <w:r w:rsidR="00D745ED">
        <w:t>onclusions</w:t>
      </w:r>
      <w:bookmarkEnd w:id="56"/>
    </w:p>
    <w:p w14:paraId="096F7E06" w14:textId="47EABA70" w:rsidR="00187E01" w:rsidRDefault="0057239A" w:rsidP="00C92E6B">
      <w:r>
        <w:t>We have seen that t</w:t>
      </w:r>
      <w:r w:rsidR="00187E01">
        <w:t xml:space="preserve">he current system </w:t>
      </w:r>
      <w:r>
        <w:t>of drought allocation in Southern California does not provide strong incentives for agencies to conserve in the years leading up to and during a drought.</w:t>
      </w:r>
      <w:r w:rsidR="00187E01">
        <w:t xml:space="preserve"> </w:t>
      </w:r>
      <w:r w:rsidR="004D6CC0">
        <w:t xml:space="preserve">An approach like the one we present would reduce demand on increasingly scarce water resources, reduce the need to develop new supply sources, and make urban populations more resilient to environmental shocks, such as drought. Providing agencies with a guaranteed </w:t>
      </w:r>
      <w:r w:rsidR="0027242B">
        <w:t xml:space="preserve">use </w:t>
      </w:r>
      <w:r w:rsidR="004D6CC0">
        <w:t xml:space="preserve">rights-based allocation also provides flexibility for future planning decisions. </w:t>
      </w:r>
      <w:r w:rsidR="007A557B">
        <w:t xml:space="preserve">In a system like the </w:t>
      </w:r>
      <w:proofErr w:type="spellStart"/>
      <w:r w:rsidR="007A557B">
        <w:t>BrenSAP</w:t>
      </w:r>
      <w:proofErr w:type="spellEnd"/>
      <w:r w:rsidR="007A557B">
        <w:t xml:space="preserve">, agencies must internalize the costs and benefits of their </w:t>
      </w:r>
      <w:r w:rsidR="004D6CC0">
        <w:t>water use decisions</w:t>
      </w:r>
      <w:r w:rsidR="007A557B">
        <w:t>.</w:t>
      </w:r>
      <w:r w:rsidR="004D6CC0">
        <w:t xml:space="preserve"> If they have a surp</w:t>
      </w:r>
      <w:r w:rsidR="007A557B">
        <w:t>lus, they could sell their conserved water to</w:t>
      </w:r>
      <w:r w:rsidR="004D6CC0">
        <w:t xml:space="preserve"> other agencies, or they could potentially reserve some surplus to provide for other management decisions such as new local development, storage for future years, or designate some portion for environmental benefits.</w:t>
      </w:r>
    </w:p>
    <w:p w14:paraId="2765F27F" w14:textId="2466ED44" w:rsidR="00C356C1" w:rsidRDefault="00D77A55" w:rsidP="00C65DC2">
      <w:r>
        <w:t xml:space="preserve">Both of </w:t>
      </w:r>
      <w:r w:rsidR="00F62558">
        <w:t xml:space="preserve">Met’s water sources are vulnerable to shortages brought about by increasingly frequent droughts. </w:t>
      </w:r>
      <w:r w:rsidR="007A6FCB">
        <w:t>When the Colorado Rive</w:t>
      </w:r>
      <w:r>
        <w:t xml:space="preserve">r and SWP </w:t>
      </w:r>
      <w:r w:rsidR="007A6FCB">
        <w:t xml:space="preserve">cannot supply enough water to meet demand, Met </w:t>
      </w:r>
      <w:r>
        <w:t xml:space="preserve">and its member agencies </w:t>
      </w:r>
      <w:r w:rsidR="007A6FCB">
        <w:t xml:space="preserve">must </w:t>
      </w:r>
      <w:r>
        <w:t xml:space="preserve">seek </w:t>
      </w:r>
      <w:r w:rsidR="00205042">
        <w:t xml:space="preserve">costly </w:t>
      </w:r>
      <w:r>
        <w:t xml:space="preserve">additional supplies. For example, agencies may increase groundwater withdrawals, </w:t>
      </w:r>
      <w:r w:rsidR="00205042">
        <w:t>plan new</w:t>
      </w:r>
      <w:r>
        <w:t xml:space="preserve"> desalination</w:t>
      </w:r>
      <w:r w:rsidR="00205042">
        <w:t xml:space="preserve"> plants</w:t>
      </w:r>
      <w:r>
        <w:t>, or purchase water from irrigation districts. In the short term, Met can pay</w:t>
      </w:r>
      <w:r w:rsidR="007A6FCB">
        <w:t xml:space="preserve"> farmers north of the Delta to fallow their fields</w:t>
      </w:r>
      <w:r w:rsidR="00AE560F">
        <w:t xml:space="preserve">, often at a steep price. </w:t>
      </w:r>
      <w:r w:rsidR="0070122F">
        <w:t xml:space="preserve">In the past, Met has been able to offer a </w:t>
      </w:r>
      <w:r w:rsidR="005B3959">
        <w:t>high enough price to entice some</w:t>
      </w:r>
      <w:r w:rsidR="0070122F">
        <w:t xml:space="preserve"> farmers to sell</w:t>
      </w:r>
      <w:r w:rsidR="005B3959">
        <w:t xml:space="preserve"> or lease their water</w:t>
      </w:r>
      <w:r w:rsidR="0070122F">
        <w:t>.</w:t>
      </w:r>
      <w:r w:rsidR="00FB797D">
        <w:t xml:space="preserve"> </w:t>
      </w:r>
      <w:r w:rsidR="0070122F">
        <w:t>This may no longer be true in Ca</w:t>
      </w:r>
      <w:r w:rsidR="00C65DC2">
        <w:t xml:space="preserve">lifornia, as premium crops </w:t>
      </w:r>
      <w:r w:rsidR="0070122F">
        <w:t>become more prevalent throu</w:t>
      </w:r>
      <w:r w:rsidR="00F01FD3">
        <w:t>ghout the Sacramento-San Joaquin</w:t>
      </w:r>
      <w:r w:rsidR="0070122F">
        <w:t xml:space="preserve"> Valley. If this trend continues, Southern California may not be able to rely on Central Valley agriculture for supplemental water as it has in the past.</w:t>
      </w:r>
    </w:p>
    <w:p w14:paraId="1C31AB01" w14:textId="3879FA57" w:rsidR="00FA1369" w:rsidRDefault="00205042" w:rsidP="00205042">
      <w:r>
        <w:t xml:space="preserve">A market system would also increase the reliability and resilience </w:t>
      </w:r>
      <w:r w:rsidR="00D018B3">
        <w:t xml:space="preserve">of the Met system. By reducing system-wide demand, such a system could decrease the frequency of shortages and reduce the duration and severity of shortages when they do occur. </w:t>
      </w:r>
      <w:r w:rsidR="00E33350">
        <w:t xml:space="preserve"> This is important because droughts in California are predicted to become more frequent and more severe due to climate change.</w:t>
      </w:r>
    </w:p>
    <w:p w14:paraId="07D66DE2" w14:textId="33A4D21B" w:rsidR="0002004E" w:rsidRDefault="005B3959" w:rsidP="00205042">
      <w:r>
        <w:t xml:space="preserve">Finally, </w:t>
      </w:r>
      <w:r w:rsidR="00FA1369">
        <w:t xml:space="preserve">reducing Southern California’s need for imported water may have environmental benefits. </w:t>
      </w:r>
      <w:r w:rsidR="00D86A25">
        <w:t xml:space="preserve">By providing agencies the ability to generate and sell surpluses, a market system provides opportunities for </w:t>
      </w:r>
      <w:r w:rsidR="0002004E">
        <w:t xml:space="preserve">that water to be purchased or designated for environmental uses. Having more water in surface storage could also </w:t>
      </w:r>
      <w:r w:rsidR="0002004E">
        <w:lastRenderedPageBreak/>
        <w:t>provide enhanced riparian habitat. Avoiding the construction of new infrastructure such as desalination plants and aqueducts reduces further degradation of our already sensitive ecosystems.</w:t>
      </w:r>
    </w:p>
    <w:p w14:paraId="087EEE5D" w14:textId="5B105B47" w:rsidR="00D86A25" w:rsidRPr="00C65DC2" w:rsidRDefault="00F14D52" w:rsidP="00205042">
      <w:pPr>
        <w:sectPr w:rsidR="00D86A25" w:rsidRPr="00C65DC2" w:rsidSect="00FB797D">
          <w:footerReference w:type="default" r:id="rId34"/>
          <w:endnotePr>
            <w:numFmt w:val="decimal"/>
          </w:endnotePr>
          <w:type w:val="continuous"/>
          <w:pgSz w:w="12240" w:h="15840"/>
          <w:pgMar w:top="1800" w:right="1800" w:bottom="1800" w:left="2160" w:header="720" w:footer="720" w:gutter="0"/>
          <w:cols w:space="720"/>
        </w:sectPr>
      </w:pPr>
      <w:r>
        <w:t xml:space="preserve">The challenge for Southern California over the next century is to live within its current water supplies even as its population and economy grow. We now find ourselves in a new era of scarcity when water reliability will have to come from </w:t>
      </w:r>
      <w:r w:rsidR="004E4D85">
        <w:t xml:space="preserve">better managing our demand. When designing systems to allocate our scarce water supplies, we therefore have to consider the incentives for conservation as a key component. Markets will be one increasingly important tool for achieving these goals.  </w:t>
      </w:r>
    </w:p>
    <w:p w14:paraId="0FD1AF18" w14:textId="5B273F81" w:rsidR="00E3410A" w:rsidRDefault="00883C3B" w:rsidP="00883C3B">
      <w:pPr>
        <w:pStyle w:val="Heading1"/>
      </w:pPr>
      <w:bookmarkStart w:id="57" w:name="_Toc416611310"/>
      <w:r>
        <w:lastRenderedPageBreak/>
        <w:t>Acknowledgements</w:t>
      </w:r>
      <w:bookmarkEnd w:id="57"/>
    </w:p>
    <w:p w14:paraId="523F5FE3" w14:textId="7DFDCD93" w:rsidR="00F058EC" w:rsidRPr="00E3410A" w:rsidRDefault="0002109E" w:rsidP="00F058EC">
      <w:r>
        <w:t xml:space="preserve">We wish to thank Kevin </w:t>
      </w:r>
      <w:proofErr w:type="spellStart"/>
      <w:r>
        <w:t>Wattier</w:t>
      </w:r>
      <w:proofErr w:type="spellEnd"/>
      <w:r>
        <w:t xml:space="preserve"> and Matt Lyons of the Long Beach Water Department for proposing this project and providing invaluable feedback along the way. </w:t>
      </w:r>
      <w:r w:rsidR="008B27C0">
        <w:t xml:space="preserve">Brianna Pagan at the Long Beach Water Department </w:t>
      </w:r>
      <w:r w:rsidR="00F058EC">
        <w:t>helped us</w:t>
      </w:r>
      <w:r w:rsidR="008B27C0">
        <w:t xml:space="preserve"> procure </w:t>
      </w:r>
      <w:r w:rsidR="00F058EC">
        <w:t>needed</w:t>
      </w:r>
      <w:r w:rsidR="008B27C0">
        <w:t xml:space="preserve"> data</w:t>
      </w:r>
      <w:r w:rsidR="00F058EC">
        <w:t xml:space="preserve"> on numerous occasions</w:t>
      </w:r>
      <w:r w:rsidR="008B27C0">
        <w:t>.</w:t>
      </w:r>
      <w:r w:rsidR="00F058EC" w:rsidRPr="00F058EC">
        <w:t xml:space="preserve"> </w:t>
      </w:r>
      <w:r w:rsidR="00F058EC">
        <w:t>We thank the Metropolitan Water District of Southern California for providing us with the data that formed the basis of this project.</w:t>
      </w:r>
    </w:p>
    <w:p w14:paraId="20C12BCF" w14:textId="7DA474A4" w:rsidR="00E3410A" w:rsidRPr="00E3410A" w:rsidRDefault="0002109E" w:rsidP="00E3410A">
      <w:r>
        <w:t>We a</w:t>
      </w:r>
      <w:r w:rsidR="007F38F4">
        <w:t>re also grateful to</w:t>
      </w:r>
      <w:r>
        <w:t xml:space="preserve"> Dr. Robert Wilkinson at the Bren School for his insights into Southern California water politics.</w:t>
      </w:r>
      <w:r w:rsidR="007F38F4">
        <w:t xml:space="preserve"> </w:t>
      </w:r>
      <w:r w:rsidR="00F058EC">
        <w:t xml:space="preserve">Dr. Allison Horst was invaluable in helping us to frame our project. </w:t>
      </w:r>
      <w:r w:rsidR="007F38F4">
        <w:t xml:space="preserve">Finally, we thank our advisor, Dr. Gary </w:t>
      </w:r>
      <w:proofErr w:type="spellStart"/>
      <w:r w:rsidR="007F38F4">
        <w:t>Libecap</w:t>
      </w:r>
      <w:proofErr w:type="spellEnd"/>
      <w:r w:rsidR="007F38F4">
        <w:t xml:space="preserve">, for </w:t>
      </w:r>
      <w:r w:rsidR="00D17012">
        <w:t>his</w:t>
      </w:r>
      <w:r w:rsidR="009D579A">
        <w:t xml:space="preserve"> tremendous</w:t>
      </w:r>
      <w:r w:rsidR="00D17012">
        <w:t xml:space="preserve"> support</w:t>
      </w:r>
      <w:r w:rsidR="00A84071">
        <w:t>, valuable input,</w:t>
      </w:r>
      <w:r w:rsidR="00D17012">
        <w:t xml:space="preserve"> and enthusiasm for our project.</w:t>
      </w:r>
    </w:p>
    <w:p w14:paraId="6152130D" w14:textId="77777777" w:rsidR="00E3410A" w:rsidRPr="00E3410A" w:rsidRDefault="00E3410A" w:rsidP="00E3410A"/>
    <w:p w14:paraId="53CEC41E" w14:textId="77777777" w:rsidR="00E3410A" w:rsidRPr="00E3410A" w:rsidRDefault="00E3410A" w:rsidP="00E3410A"/>
    <w:p w14:paraId="33D13D7D" w14:textId="77777777" w:rsidR="00E3410A" w:rsidRPr="00E3410A" w:rsidRDefault="00E3410A" w:rsidP="00E3410A"/>
    <w:p w14:paraId="4FD787C0" w14:textId="77777777" w:rsidR="00E3410A" w:rsidRPr="00E3410A" w:rsidRDefault="00E3410A" w:rsidP="00E3410A"/>
    <w:p w14:paraId="324C8BA9" w14:textId="77777777" w:rsidR="00E3410A" w:rsidRPr="00E3410A" w:rsidRDefault="00E3410A" w:rsidP="00E3410A"/>
    <w:p w14:paraId="5899889F" w14:textId="77777777" w:rsidR="00E3410A" w:rsidRPr="00E3410A" w:rsidRDefault="00E3410A" w:rsidP="00E3410A"/>
    <w:p w14:paraId="4EB05D3B" w14:textId="77777777" w:rsidR="00E3410A" w:rsidRPr="00E3410A" w:rsidRDefault="00E3410A" w:rsidP="00E3410A"/>
    <w:p w14:paraId="0BBC25B6" w14:textId="5EF591CC" w:rsidR="00E3410A" w:rsidRDefault="00E3410A" w:rsidP="00E3410A"/>
    <w:p w14:paraId="07835D5E" w14:textId="77777777" w:rsidR="00E3410A" w:rsidRPr="00E3410A" w:rsidRDefault="00E3410A" w:rsidP="00E3410A"/>
    <w:p w14:paraId="0DE7387F" w14:textId="59E4127C" w:rsidR="00E3410A" w:rsidRDefault="00E3410A" w:rsidP="00E3410A">
      <w:pPr>
        <w:tabs>
          <w:tab w:val="left" w:pos="960"/>
        </w:tabs>
      </w:pPr>
      <w:r>
        <w:tab/>
      </w:r>
    </w:p>
    <w:p w14:paraId="312145B5" w14:textId="4B3C0DA3" w:rsidR="00883C3B" w:rsidRPr="00E3410A" w:rsidRDefault="00E3410A" w:rsidP="00E3410A">
      <w:pPr>
        <w:tabs>
          <w:tab w:val="left" w:pos="960"/>
        </w:tabs>
        <w:sectPr w:rsidR="00883C3B" w:rsidRPr="00E3410A" w:rsidSect="00C655BD">
          <w:footerReference w:type="default" r:id="rId35"/>
          <w:endnotePr>
            <w:numFmt w:val="decimal"/>
          </w:endnotePr>
          <w:pgSz w:w="12240" w:h="15840"/>
          <w:pgMar w:top="1800" w:right="1800" w:bottom="1800" w:left="2160" w:header="720" w:footer="720" w:gutter="0"/>
          <w:cols w:space="720"/>
        </w:sectPr>
      </w:pPr>
      <w:r>
        <w:tab/>
      </w:r>
    </w:p>
    <w:p w14:paraId="442080EE" w14:textId="24220BDD" w:rsidR="00163EE1" w:rsidRDefault="007B6ECE" w:rsidP="002832B1">
      <w:pPr>
        <w:pStyle w:val="Heading1"/>
      </w:pPr>
      <w:bookmarkStart w:id="58" w:name="_Toc416611311"/>
      <w:r>
        <w:lastRenderedPageBreak/>
        <w:t>References</w:t>
      </w:r>
      <w:bookmarkEnd w:id="58"/>
    </w:p>
    <w:p w14:paraId="298BC563" w14:textId="77777777" w:rsidR="002A7CFC" w:rsidRPr="002A7CFC" w:rsidRDefault="000C64A8" w:rsidP="002A7CFC">
      <w:pPr>
        <w:pStyle w:val="Bibliography"/>
        <w:rPr>
          <w:rFonts w:ascii="Gill Sans MT" w:hAnsi="Gill Sans MT"/>
        </w:rPr>
      </w:pPr>
      <w:r>
        <w:fldChar w:fldCharType="begin"/>
      </w:r>
      <w:r w:rsidR="002A7CFC">
        <w:instrText xml:space="preserve"> ADDIN ZOTERO_BIBL {"custom":[]} CSL_BIBLIOGRAPHY </w:instrText>
      </w:r>
      <w:r>
        <w:fldChar w:fldCharType="separate"/>
      </w:r>
      <w:r w:rsidR="002A7CFC" w:rsidRPr="002A7CFC">
        <w:rPr>
          <w:rFonts w:ascii="Gill Sans MT" w:hAnsi="Gill Sans MT"/>
          <w:i/>
          <w:iCs/>
        </w:rPr>
        <w:t>20x2020 Water Conservation Plan</w:t>
      </w:r>
      <w:r w:rsidR="002A7CFC" w:rsidRPr="002A7CFC">
        <w:rPr>
          <w:rFonts w:ascii="Gill Sans MT" w:hAnsi="Gill Sans MT"/>
        </w:rPr>
        <w:t>. California Department of Water Resources, February 2010. http://www.swrcb.ca.gov/water_issues/hot_topics/20x2020/docs/20x2020plan.pdf.</w:t>
      </w:r>
    </w:p>
    <w:p w14:paraId="72202E25" w14:textId="77777777" w:rsidR="002A7CFC" w:rsidRPr="002A7CFC" w:rsidRDefault="002A7CFC" w:rsidP="002A7CFC">
      <w:pPr>
        <w:pStyle w:val="Bibliography"/>
        <w:rPr>
          <w:rFonts w:ascii="Gill Sans MT" w:hAnsi="Gill Sans MT"/>
        </w:rPr>
      </w:pPr>
      <w:r w:rsidRPr="002A7CFC">
        <w:rPr>
          <w:rFonts w:ascii="Gill Sans MT" w:hAnsi="Gill Sans MT"/>
        </w:rPr>
        <w:t xml:space="preserve">“California Officials Admit They Have Incomplete Water Usage Data.” </w:t>
      </w:r>
      <w:r w:rsidRPr="002A7CFC">
        <w:rPr>
          <w:rFonts w:ascii="Gill Sans MT" w:hAnsi="Gill Sans MT"/>
          <w:i/>
          <w:iCs/>
        </w:rPr>
        <w:t>Los Angeles Times</w:t>
      </w:r>
      <w:r w:rsidRPr="002A7CFC">
        <w:rPr>
          <w:rFonts w:ascii="Gill Sans MT" w:hAnsi="Gill Sans MT"/>
        </w:rPr>
        <w:t>. Accessed February 16, 2015. http://www.latimes.com/local/la-me-water-use-war-20140727-story.html.</w:t>
      </w:r>
    </w:p>
    <w:p w14:paraId="579730B5" w14:textId="77777777" w:rsidR="002A7CFC" w:rsidRPr="002A7CFC" w:rsidRDefault="002A7CFC" w:rsidP="002A7CFC">
      <w:pPr>
        <w:pStyle w:val="Bibliography"/>
        <w:rPr>
          <w:rFonts w:ascii="Gill Sans MT" w:hAnsi="Gill Sans MT"/>
        </w:rPr>
      </w:pPr>
      <w:r w:rsidRPr="002A7CFC">
        <w:rPr>
          <w:rFonts w:ascii="Gill Sans MT" w:hAnsi="Gill Sans MT"/>
        </w:rPr>
        <w:t>“CA Water Code Subsection 350 (Water Shortage Emergency).” Accessed April 10, 2014. http://www.leginfo.ca.gov/cgi-bin/displaycode?section=wat&amp;group=00001-01000&amp;file=350-359.</w:t>
      </w:r>
    </w:p>
    <w:p w14:paraId="5E3485EA" w14:textId="77777777" w:rsidR="002A7CFC" w:rsidRPr="002A7CFC" w:rsidRDefault="002A7CFC" w:rsidP="002A7CFC">
      <w:pPr>
        <w:pStyle w:val="Bibliography"/>
        <w:rPr>
          <w:rFonts w:ascii="Gill Sans MT" w:hAnsi="Gill Sans MT"/>
        </w:rPr>
      </w:pPr>
      <w:r w:rsidRPr="002A7CFC">
        <w:rPr>
          <w:rFonts w:ascii="Gill Sans MT" w:hAnsi="Gill Sans MT"/>
        </w:rPr>
        <w:t xml:space="preserve">Erie, Steven P, and Harold David Brackman. </w:t>
      </w:r>
      <w:r w:rsidRPr="002A7CFC">
        <w:rPr>
          <w:rFonts w:ascii="Gill Sans MT" w:hAnsi="Gill Sans MT"/>
          <w:i/>
          <w:iCs/>
        </w:rPr>
        <w:t>Beyond Chinatown: The Metropolitan Water District, Growth, and the Environment in Southern California</w:t>
      </w:r>
      <w:r w:rsidRPr="002A7CFC">
        <w:rPr>
          <w:rFonts w:ascii="Gill Sans MT" w:hAnsi="Gill Sans MT"/>
        </w:rPr>
        <w:t>. Stanford: Stanford University Press, 2006.</w:t>
      </w:r>
    </w:p>
    <w:p w14:paraId="20024D02" w14:textId="77777777" w:rsidR="002A7CFC" w:rsidRPr="002A7CFC" w:rsidRDefault="002A7CFC" w:rsidP="002A7CFC">
      <w:pPr>
        <w:pStyle w:val="Bibliography"/>
        <w:rPr>
          <w:rFonts w:ascii="Gill Sans MT" w:hAnsi="Gill Sans MT"/>
        </w:rPr>
      </w:pPr>
      <w:r w:rsidRPr="002A7CFC">
        <w:rPr>
          <w:rFonts w:ascii="Gill Sans MT" w:hAnsi="Gill Sans MT"/>
        </w:rPr>
        <w:t xml:space="preserve">“Governor Brown Declares Drought State of Emergency.” </w:t>
      </w:r>
      <w:r w:rsidRPr="002A7CFC">
        <w:rPr>
          <w:rFonts w:ascii="Gill Sans MT" w:hAnsi="Gill Sans MT"/>
          <w:i/>
          <w:iCs/>
        </w:rPr>
        <w:t>Office of Governor Edmund G. Brown Jr.</w:t>
      </w:r>
      <w:r w:rsidRPr="002A7CFC">
        <w:rPr>
          <w:rFonts w:ascii="Gill Sans MT" w:hAnsi="Gill Sans MT"/>
        </w:rPr>
        <w:t>, January 17, 2014. http://gov.ca.gov/news.php?id=18379.</w:t>
      </w:r>
    </w:p>
    <w:p w14:paraId="135107E4" w14:textId="77777777" w:rsidR="002A7CFC" w:rsidRPr="002A7CFC" w:rsidRDefault="002A7CFC" w:rsidP="002A7CFC">
      <w:pPr>
        <w:pStyle w:val="Bibliography"/>
        <w:rPr>
          <w:rFonts w:ascii="Gill Sans MT" w:hAnsi="Gill Sans MT"/>
        </w:rPr>
      </w:pPr>
      <w:r w:rsidRPr="002A7CFC">
        <w:rPr>
          <w:rFonts w:ascii="Gill Sans MT" w:hAnsi="Gill Sans MT"/>
        </w:rPr>
        <w:t xml:space="preserve">Hardin, Garrett. “The Tragedy of the Commons.” </w:t>
      </w:r>
      <w:r w:rsidRPr="002A7CFC">
        <w:rPr>
          <w:rFonts w:ascii="Gill Sans MT" w:hAnsi="Gill Sans MT"/>
          <w:i/>
          <w:iCs/>
        </w:rPr>
        <w:t>Science</w:t>
      </w:r>
      <w:r w:rsidRPr="002A7CFC">
        <w:rPr>
          <w:rFonts w:ascii="Gill Sans MT" w:hAnsi="Gill Sans MT"/>
        </w:rPr>
        <w:t>, New Series, 162, no. 3859 (December 13, 1968): 1243–48.</w:t>
      </w:r>
    </w:p>
    <w:p w14:paraId="26A87837" w14:textId="77777777" w:rsidR="002A7CFC" w:rsidRPr="002A7CFC" w:rsidRDefault="002A7CFC" w:rsidP="002A7CFC">
      <w:pPr>
        <w:pStyle w:val="Bibliography"/>
        <w:rPr>
          <w:rFonts w:ascii="Gill Sans MT" w:hAnsi="Gill Sans MT"/>
        </w:rPr>
      </w:pPr>
      <w:r w:rsidRPr="002A7CFC">
        <w:rPr>
          <w:rFonts w:ascii="Gill Sans MT" w:hAnsi="Gill Sans MT"/>
        </w:rPr>
        <w:t xml:space="preserve">Lloyd, Jonathan. “California Meets Water-Use Goal for First Time.” </w:t>
      </w:r>
      <w:r w:rsidRPr="002A7CFC">
        <w:rPr>
          <w:rFonts w:ascii="Gill Sans MT" w:hAnsi="Gill Sans MT"/>
          <w:i/>
          <w:iCs/>
        </w:rPr>
        <w:t>NBC News</w:t>
      </w:r>
      <w:r w:rsidRPr="002A7CFC">
        <w:rPr>
          <w:rFonts w:ascii="Gill Sans MT" w:hAnsi="Gill Sans MT"/>
        </w:rPr>
        <w:t>, February 3, 2015. http://www.nbcbayarea.com/news/local/California-Water-Use-Conservation-Drought-290642631.html.</w:t>
      </w:r>
    </w:p>
    <w:p w14:paraId="2818AD46" w14:textId="77777777" w:rsidR="002A7CFC" w:rsidRPr="002A7CFC" w:rsidRDefault="002A7CFC" w:rsidP="002A7CFC">
      <w:pPr>
        <w:pStyle w:val="Bibliography"/>
        <w:rPr>
          <w:rFonts w:ascii="Gill Sans MT" w:hAnsi="Gill Sans MT"/>
        </w:rPr>
      </w:pPr>
      <w:r w:rsidRPr="002A7CFC">
        <w:rPr>
          <w:rFonts w:ascii="Gill Sans MT" w:hAnsi="Gill Sans MT"/>
          <w:i/>
          <w:iCs/>
        </w:rPr>
        <w:t>Managing an Uncertain Future: Climate Change Adaptation Strategies for California’s Water</w:t>
      </w:r>
      <w:r w:rsidRPr="002A7CFC">
        <w:rPr>
          <w:rFonts w:ascii="Gill Sans MT" w:hAnsi="Gill Sans MT"/>
        </w:rPr>
        <w:t>. California Department of Water Resources, October 2008. http://www.water.ca.gov/climatechange/docs/ClimateChangeWhitePaper.pdf.</w:t>
      </w:r>
    </w:p>
    <w:p w14:paraId="55BC215B" w14:textId="77777777" w:rsidR="002A7CFC" w:rsidRPr="002A7CFC" w:rsidRDefault="002A7CFC" w:rsidP="002A7CFC">
      <w:pPr>
        <w:pStyle w:val="Bibliography"/>
        <w:rPr>
          <w:rFonts w:ascii="Gill Sans MT" w:hAnsi="Gill Sans MT"/>
        </w:rPr>
      </w:pPr>
      <w:r w:rsidRPr="002A7CFC">
        <w:rPr>
          <w:rFonts w:ascii="Gill Sans MT" w:hAnsi="Gill Sans MT"/>
          <w:i/>
          <w:iCs/>
        </w:rPr>
        <w:t>MWD Annual Report for the Fiscal Year 2013-2014</w:t>
      </w:r>
      <w:r w:rsidRPr="002A7CFC">
        <w:rPr>
          <w:rFonts w:ascii="Gill Sans MT" w:hAnsi="Gill Sans MT"/>
        </w:rPr>
        <w:t>. Metropolitan Water District of Southern California. Accessed January 20, 2015. http://www.mwdh2o.com/mwdh2o/pages/finance/FY13-14-CAFR.pdf.</w:t>
      </w:r>
    </w:p>
    <w:p w14:paraId="2D58927A" w14:textId="77777777" w:rsidR="002A7CFC" w:rsidRPr="002A7CFC" w:rsidRDefault="002A7CFC" w:rsidP="002A7CFC">
      <w:pPr>
        <w:pStyle w:val="Bibliography"/>
        <w:rPr>
          <w:rFonts w:ascii="Gill Sans MT" w:hAnsi="Gill Sans MT"/>
        </w:rPr>
      </w:pPr>
      <w:r w:rsidRPr="002A7CFC">
        <w:rPr>
          <w:rFonts w:ascii="Gill Sans MT" w:hAnsi="Gill Sans MT"/>
          <w:i/>
          <w:iCs/>
        </w:rPr>
        <w:t>MWD Water Surplus and Drought Management Plan</w:t>
      </w:r>
      <w:r w:rsidRPr="002A7CFC">
        <w:rPr>
          <w:rFonts w:ascii="Gill Sans MT" w:hAnsi="Gill Sans MT"/>
        </w:rPr>
        <w:t>. Metropolitan Water District of Southern California, 1999. http://www.mwdh2o.com/mwdh2o/pages/yourwater/WSDM_Report1150.pdf.</w:t>
      </w:r>
    </w:p>
    <w:p w14:paraId="39F813CF" w14:textId="77777777" w:rsidR="002A7CFC" w:rsidRPr="002A7CFC" w:rsidRDefault="002A7CFC" w:rsidP="002A7CFC">
      <w:pPr>
        <w:pStyle w:val="Bibliography"/>
        <w:rPr>
          <w:rFonts w:ascii="Gill Sans MT" w:hAnsi="Gill Sans MT"/>
        </w:rPr>
      </w:pPr>
      <w:r w:rsidRPr="002A7CFC">
        <w:rPr>
          <w:rFonts w:ascii="Gill Sans MT" w:hAnsi="Gill Sans MT"/>
          <w:i/>
          <w:iCs/>
        </w:rPr>
        <w:t>News Release: Gearing up for More Drought, Metropolitan Water Board Revises Supply Allocation Plan, Also Adds $40 Million to Rebate Program</w:t>
      </w:r>
      <w:r w:rsidRPr="002A7CFC">
        <w:rPr>
          <w:rFonts w:ascii="Gill Sans MT" w:hAnsi="Gill Sans MT"/>
        </w:rPr>
        <w:t>. Metropolitan Water District of Southern California, December 9, 2014. http://www.mwdh2o.com/mwdh2o/pages/blog/8-21-14.html.</w:t>
      </w:r>
    </w:p>
    <w:p w14:paraId="7D1CBC98" w14:textId="77777777" w:rsidR="002A7CFC" w:rsidRPr="002A7CFC" w:rsidRDefault="002A7CFC" w:rsidP="002A7CFC">
      <w:pPr>
        <w:pStyle w:val="Bibliography"/>
        <w:rPr>
          <w:rFonts w:ascii="Gill Sans MT" w:hAnsi="Gill Sans MT"/>
        </w:rPr>
      </w:pPr>
      <w:r w:rsidRPr="002A7CFC">
        <w:rPr>
          <w:rFonts w:ascii="Gill Sans MT" w:hAnsi="Gill Sans MT"/>
        </w:rPr>
        <w:t xml:space="preserve">O’Connor, Dennis. </w:t>
      </w:r>
      <w:r w:rsidRPr="002A7CFC">
        <w:rPr>
          <w:rFonts w:ascii="Gill Sans MT" w:hAnsi="Gill Sans MT"/>
          <w:i/>
          <w:iCs/>
        </w:rPr>
        <w:t>The Governance of the Metropolitan Water District of Southern California: An Overview of the Issues</w:t>
      </w:r>
      <w:r w:rsidRPr="002A7CFC">
        <w:rPr>
          <w:rFonts w:ascii="Gill Sans MT" w:hAnsi="Gill Sans MT"/>
        </w:rPr>
        <w:t>. California Research Bureau, August 1998. https://www.library.ca.gov/crb/98/13/98013.pdf.</w:t>
      </w:r>
    </w:p>
    <w:p w14:paraId="527C0F99" w14:textId="77777777" w:rsidR="002A7CFC" w:rsidRPr="002A7CFC" w:rsidRDefault="002A7CFC" w:rsidP="002A7CFC">
      <w:pPr>
        <w:pStyle w:val="Bibliography"/>
        <w:rPr>
          <w:rFonts w:ascii="Gill Sans MT" w:hAnsi="Gill Sans MT"/>
        </w:rPr>
      </w:pPr>
      <w:r w:rsidRPr="002A7CFC">
        <w:rPr>
          <w:rFonts w:ascii="Gill Sans MT" w:hAnsi="Gill Sans MT"/>
        </w:rPr>
        <w:t xml:space="preserve">“Persistent Drought Conditions Could Compel Metropolitan to Limit Imported Water Supplies for Region This Summer.” </w:t>
      </w:r>
      <w:r w:rsidRPr="002A7CFC">
        <w:rPr>
          <w:rFonts w:ascii="Gill Sans MT" w:hAnsi="Gill Sans MT"/>
          <w:i/>
          <w:iCs/>
        </w:rPr>
        <w:t>Metropolitan Water District of Southern California Press Release</w:t>
      </w:r>
      <w:r w:rsidRPr="002A7CFC">
        <w:rPr>
          <w:rFonts w:ascii="Gill Sans MT" w:hAnsi="Gill Sans MT"/>
        </w:rPr>
        <w:t xml:space="preserve">, February 9, 2015. </w:t>
      </w:r>
      <w:r w:rsidRPr="002A7CFC">
        <w:rPr>
          <w:rFonts w:ascii="Gill Sans MT" w:hAnsi="Gill Sans MT"/>
        </w:rPr>
        <w:lastRenderedPageBreak/>
        <w:t>http://www.mwdh2o.com/mwdh2o/pages/news/press_releases/2015-02/Allocation_scenarios_introduced.pdf.</w:t>
      </w:r>
    </w:p>
    <w:p w14:paraId="7C6F4E80" w14:textId="77777777" w:rsidR="002A7CFC" w:rsidRPr="002A7CFC" w:rsidRDefault="002A7CFC" w:rsidP="002A7CFC">
      <w:pPr>
        <w:pStyle w:val="Bibliography"/>
        <w:rPr>
          <w:rFonts w:ascii="Gill Sans MT" w:hAnsi="Gill Sans MT"/>
        </w:rPr>
      </w:pPr>
      <w:r w:rsidRPr="002A7CFC">
        <w:rPr>
          <w:rFonts w:ascii="Gill Sans MT" w:hAnsi="Gill Sans MT"/>
        </w:rPr>
        <w:t>“San Diego County Water Authority Petitions State Supreme Court on Preferential Rights.” San Diego County Water Authority. Accessed April 10, 2014. http://www.sdcwa.org/san-diego-county-water-authority-petitions-state-supreme-court-preferential-rights.</w:t>
      </w:r>
    </w:p>
    <w:p w14:paraId="5523703F" w14:textId="77777777" w:rsidR="002A7CFC" w:rsidRPr="002A7CFC" w:rsidRDefault="002A7CFC" w:rsidP="002A7CFC">
      <w:pPr>
        <w:pStyle w:val="Bibliography"/>
        <w:rPr>
          <w:rFonts w:ascii="Gill Sans MT" w:hAnsi="Gill Sans MT"/>
        </w:rPr>
      </w:pPr>
      <w:r w:rsidRPr="002A7CFC">
        <w:rPr>
          <w:rFonts w:ascii="Gill Sans MT" w:hAnsi="Gill Sans MT"/>
        </w:rPr>
        <w:t xml:space="preserve">Schoch, Deborah. “Drought Plan Opens Deep Rifts over Fairness.” </w:t>
      </w:r>
      <w:r w:rsidRPr="002A7CFC">
        <w:rPr>
          <w:rFonts w:ascii="Gill Sans MT" w:hAnsi="Gill Sans MT"/>
          <w:i/>
          <w:iCs/>
        </w:rPr>
        <w:t>Los Angeles Times</w:t>
      </w:r>
      <w:r w:rsidRPr="002A7CFC">
        <w:rPr>
          <w:rFonts w:ascii="Gill Sans MT" w:hAnsi="Gill Sans MT"/>
        </w:rPr>
        <w:t>, January 20, 2008. http://articles.latimes.com/2008/jan/20/local/me-water20.</w:t>
      </w:r>
    </w:p>
    <w:p w14:paraId="4B96025E" w14:textId="77777777" w:rsidR="002A7CFC" w:rsidRPr="002A7CFC" w:rsidRDefault="002A7CFC" w:rsidP="002A7CFC">
      <w:pPr>
        <w:pStyle w:val="Bibliography"/>
        <w:rPr>
          <w:rFonts w:ascii="Gill Sans MT" w:hAnsi="Gill Sans MT"/>
        </w:rPr>
      </w:pPr>
      <w:r w:rsidRPr="002A7CFC">
        <w:rPr>
          <w:rFonts w:ascii="Gill Sans MT" w:hAnsi="Gill Sans MT"/>
        </w:rPr>
        <w:t xml:space="preserve">“State Water Board Approves Emergency Regulation to Ensure Agencies and State Residents Increase Water Conservation.” </w:t>
      </w:r>
      <w:r w:rsidRPr="002A7CFC">
        <w:rPr>
          <w:rFonts w:ascii="Gill Sans MT" w:hAnsi="Gill Sans MT"/>
          <w:i/>
          <w:iCs/>
        </w:rPr>
        <w:t>State Water Resources Control Board</w:t>
      </w:r>
      <w:r w:rsidRPr="002A7CFC">
        <w:rPr>
          <w:rFonts w:ascii="Gill Sans MT" w:hAnsi="Gill Sans MT"/>
        </w:rPr>
        <w:t>, July 15, 2014. http://www.waterboards.ca.gov/press_room/press_releases/2014/pr071514.pdf.</w:t>
      </w:r>
    </w:p>
    <w:p w14:paraId="54E5B60D" w14:textId="77777777" w:rsidR="002A7CFC" w:rsidRPr="002A7CFC" w:rsidRDefault="002A7CFC" w:rsidP="002A7CFC">
      <w:pPr>
        <w:pStyle w:val="Bibliography"/>
        <w:rPr>
          <w:rFonts w:ascii="Gill Sans MT" w:hAnsi="Gill Sans MT"/>
        </w:rPr>
      </w:pPr>
      <w:r w:rsidRPr="002A7CFC">
        <w:rPr>
          <w:rFonts w:ascii="Gill Sans MT" w:hAnsi="Gill Sans MT"/>
          <w:i/>
          <w:iCs/>
        </w:rPr>
        <w:t>The Metropolitan Water District Act of 1969</w:t>
      </w:r>
      <w:r w:rsidRPr="002A7CFC">
        <w:rPr>
          <w:rFonts w:ascii="Gill Sans MT" w:hAnsi="Gill Sans MT"/>
        </w:rPr>
        <w:t>, 1969. http://www.mwdh2o.com/rsap/Act.pdf.</w:t>
      </w:r>
    </w:p>
    <w:p w14:paraId="0B85EBC4" w14:textId="77777777" w:rsidR="002A7CFC" w:rsidRPr="002A7CFC" w:rsidRDefault="002A7CFC" w:rsidP="002A7CFC">
      <w:pPr>
        <w:pStyle w:val="Bibliography"/>
        <w:rPr>
          <w:rFonts w:ascii="Gill Sans MT" w:hAnsi="Gill Sans MT"/>
        </w:rPr>
      </w:pPr>
      <w:r w:rsidRPr="002A7CFC">
        <w:rPr>
          <w:rFonts w:ascii="Gill Sans MT" w:hAnsi="Gill Sans MT"/>
        </w:rPr>
        <w:t xml:space="preserve">“United States Drought Monitor.” </w:t>
      </w:r>
      <w:r w:rsidRPr="002A7CFC">
        <w:rPr>
          <w:rFonts w:ascii="Gill Sans MT" w:hAnsi="Gill Sans MT"/>
          <w:i/>
          <w:iCs/>
        </w:rPr>
        <w:t>National Drought Mitigation Center</w:t>
      </w:r>
      <w:r w:rsidRPr="002A7CFC">
        <w:rPr>
          <w:rFonts w:ascii="Gill Sans MT" w:hAnsi="Gill Sans MT"/>
        </w:rPr>
        <w:t>, January 15, 2015. http://droughtmonitor.unl.edu/.</w:t>
      </w:r>
    </w:p>
    <w:p w14:paraId="2BB265EB" w14:textId="77777777" w:rsidR="002A7CFC" w:rsidRPr="002A7CFC" w:rsidRDefault="002A7CFC" w:rsidP="002A7CFC">
      <w:pPr>
        <w:pStyle w:val="Bibliography"/>
        <w:rPr>
          <w:rFonts w:ascii="Gill Sans MT" w:hAnsi="Gill Sans MT"/>
        </w:rPr>
      </w:pPr>
      <w:r w:rsidRPr="002A7CFC">
        <w:rPr>
          <w:rFonts w:ascii="Gill Sans MT" w:hAnsi="Gill Sans MT"/>
        </w:rPr>
        <w:t xml:space="preserve">Veeh, Matthew. “Long Beach July Water Use Lowest Since 1958.” </w:t>
      </w:r>
      <w:r w:rsidRPr="002A7CFC">
        <w:rPr>
          <w:rFonts w:ascii="Gill Sans MT" w:hAnsi="Gill Sans MT"/>
          <w:i/>
          <w:iCs/>
        </w:rPr>
        <w:t>Long Beach Water Department</w:t>
      </w:r>
      <w:r w:rsidRPr="002A7CFC">
        <w:rPr>
          <w:rFonts w:ascii="Gill Sans MT" w:hAnsi="Gill Sans MT"/>
        </w:rPr>
        <w:t>, August 1, 2014. http://lbwater.org/Long-Beach-July-Water-Use-Lowest-Since-1958.</w:t>
      </w:r>
    </w:p>
    <w:p w14:paraId="75FCA62F" w14:textId="77777777" w:rsidR="002A7CFC" w:rsidRPr="002A7CFC" w:rsidRDefault="002A7CFC" w:rsidP="002A7CFC">
      <w:pPr>
        <w:pStyle w:val="Bibliography"/>
        <w:rPr>
          <w:rFonts w:ascii="Gill Sans MT" w:hAnsi="Gill Sans MT"/>
        </w:rPr>
      </w:pPr>
      <w:r w:rsidRPr="002A7CFC">
        <w:rPr>
          <w:rFonts w:ascii="Gill Sans MT" w:hAnsi="Gill Sans MT"/>
        </w:rPr>
        <w:t xml:space="preserve">Walton, Brett. “California Drought: A Dry January Closes and Dread Mounts.” </w:t>
      </w:r>
      <w:r w:rsidRPr="002A7CFC">
        <w:rPr>
          <w:rFonts w:ascii="Gill Sans MT" w:hAnsi="Gill Sans MT"/>
          <w:i/>
          <w:iCs/>
        </w:rPr>
        <w:t>Circle of Blue WaterNews</w:t>
      </w:r>
      <w:r w:rsidRPr="002A7CFC">
        <w:rPr>
          <w:rFonts w:ascii="Gill Sans MT" w:hAnsi="Gill Sans MT"/>
        </w:rPr>
        <w:t>, January 29, 2015. http://www.circleofblue.org/waternews/2015/world/california-drought-a-dry-january-closes-dread-mounts/.</w:t>
      </w:r>
    </w:p>
    <w:p w14:paraId="788053A7" w14:textId="77777777" w:rsidR="002A7CFC" w:rsidRPr="002A7CFC" w:rsidRDefault="002A7CFC" w:rsidP="002A7CFC">
      <w:pPr>
        <w:pStyle w:val="Bibliography"/>
        <w:rPr>
          <w:rFonts w:ascii="Gill Sans MT" w:hAnsi="Gill Sans MT"/>
        </w:rPr>
      </w:pPr>
      <w:r w:rsidRPr="002A7CFC">
        <w:rPr>
          <w:rFonts w:ascii="Gill Sans MT" w:hAnsi="Gill Sans MT"/>
        </w:rPr>
        <w:t xml:space="preserve">Zetland, David. “The End of Abundance: How Water Bureaucrats Created and Destroyed the Southern California Oasis.” </w:t>
      </w:r>
      <w:r w:rsidRPr="002A7CFC">
        <w:rPr>
          <w:rFonts w:ascii="Gill Sans MT" w:hAnsi="Gill Sans MT"/>
          <w:i/>
          <w:iCs/>
        </w:rPr>
        <w:t>Water Alternatives</w:t>
      </w:r>
      <w:r w:rsidRPr="002A7CFC">
        <w:rPr>
          <w:rFonts w:ascii="Gill Sans MT" w:hAnsi="Gill Sans MT"/>
        </w:rPr>
        <w:t xml:space="preserve"> 2, no. 3 (2009): 350–69.</w:t>
      </w:r>
    </w:p>
    <w:p w14:paraId="4691ACA9" w14:textId="4219D68C" w:rsidR="000C64A8" w:rsidRPr="000C64A8" w:rsidRDefault="000C64A8" w:rsidP="000C64A8">
      <w:r>
        <w:fldChar w:fldCharType="end"/>
      </w:r>
    </w:p>
    <w:p w14:paraId="2DFEF5FD" w14:textId="75E6D4EE" w:rsidR="00B617F1" w:rsidRDefault="00B617F1">
      <w:pPr>
        <w:spacing w:line="259" w:lineRule="auto"/>
        <w:rPr>
          <w:sz w:val="22"/>
        </w:rPr>
      </w:pPr>
      <w:r>
        <w:br w:type="page"/>
      </w:r>
    </w:p>
    <w:p w14:paraId="1DD68E82" w14:textId="77777777" w:rsidR="00AC0D5A" w:rsidRDefault="00AC0D5A" w:rsidP="00A3088F">
      <w:pPr>
        <w:pStyle w:val="Heading1"/>
        <w:sectPr w:rsidR="00AC0D5A" w:rsidSect="00C73277">
          <w:footerReference w:type="default" r:id="rId36"/>
          <w:endnotePr>
            <w:numFmt w:val="decimal"/>
          </w:endnotePr>
          <w:pgSz w:w="12240" w:h="15840"/>
          <w:pgMar w:top="1800" w:right="1800" w:bottom="1800" w:left="2160" w:header="720" w:footer="720" w:gutter="0"/>
          <w:cols w:space="720"/>
        </w:sectPr>
      </w:pPr>
    </w:p>
    <w:p w14:paraId="514999B4" w14:textId="094DE50A" w:rsidR="00B76C86" w:rsidRDefault="00DB544D" w:rsidP="00BB0BF5">
      <w:pPr>
        <w:pStyle w:val="Heading1"/>
      </w:pPr>
      <w:bookmarkStart w:id="59" w:name="_Toc416611312"/>
      <w:r>
        <w:lastRenderedPageBreak/>
        <w:t>Appendix A: Charts and Tables</w:t>
      </w:r>
      <w:bookmarkEnd w:id="59"/>
    </w:p>
    <w:p w14:paraId="1F068181" w14:textId="6FAC5CAD" w:rsidR="00EB3A3A" w:rsidRDefault="001D22F4">
      <w:pPr>
        <w:spacing w:line="259" w:lineRule="auto"/>
      </w:pPr>
      <w:r>
        <w:fldChar w:fldCharType="begin"/>
      </w:r>
      <w:r>
        <w:instrText xml:space="preserve"> REF _Ref416277698 \h </w:instrText>
      </w:r>
      <w:r>
        <w:fldChar w:fldCharType="separate"/>
      </w:r>
      <w:r>
        <w:t xml:space="preserve">Figure </w:t>
      </w:r>
      <w:r>
        <w:rPr>
          <w:noProof/>
        </w:rPr>
        <w:t>9</w:t>
      </w:r>
      <w:r>
        <w:noBreakHyphen/>
      </w:r>
      <w:r>
        <w:rPr>
          <w:noProof/>
        </w:rPr>
        <w:t>1</w:t>
      </w:r>
      <w:r>
        <w:fldChar w:fldCharType="end"/>
      </w:r>
      <w:r>
        <w:t xml:space="preserve"> </w:t>
      </w:r>
      <w:r w:rsidR="0084365F">
        <w:t>below shows the</w:t>
      </w:r>
      <w:r w:rsidR="00EB3A3A">
        <w:t xml:space="preserve"> </w:t>
      </w:r>
      <w:r w:rsidR="0084365F">
        <w:t>2015 Water Supply Allocation Plan, the process by which Met calculates member agency allocations during a regional shortage</w:t>
      </w:r>
      <w:r w:rsidR="00EB3A3A">
        <w:t>. A detailed description of most elements can be found in Section 2.4</w:t>
      </w:r>
      <w:r w:rsidR="0084365F">
        <w:t>,</w:t>
      </w:r>
      <w:r w:rsidR="00EB3A3A">
        <w:t xml:space="preserve"> page</w:t>
      </w:r>
      <w:r w:rsidR="0084365F">
        <w:t xml:space="preserve">s 2–21 of </w:t>
      </w:r>
      <w:r w:rsidR="00EB3A3A">
        <w:t>Met</w:t>
      </w:r>
      <w:r w:rsidR="0084365F">
        <w:t>’s</w:t>
      </w:r>
      <w:r w:rsidR="00EB3A3A">
        <w:t xml:space="preserve"> 2010 Region</w:t>
      </w:r>
      <w:r w:rsidR="0084365F">
        <w:t>al Urban Water Management Plan.</w:t>
      </w:r>
    </w:p>
    <w:p w14:paraId="11D7B12B" w14:textId="6078236C" w:rsidR="00EB3A3A" w:rsidRDefault="00EB3A3A">
      <w:pPr>
        <w:spacing w:line="259" w:lineRule="auto"/>
      </w:pPr>
      <w:r>
        <w:t>The flow lines represent which elements are used as inputs to calculate subse</w:t>
      </w:r>
      <w:r w:rsidR="0084365F">
        <w:t>quent elements, and the “+”, “–”</w:t>
      </w:r>
      <w:r w:rsidR="005F0DBC">
        <w:t>, or “×</w:t>
      </w:r>
      <w:r>
        <w:t xml:space="preserve">” represent how the element is </w:t>
      </w:r>
      <w:r w:rsidR="0023097A">
        <w:t>applied to the value in the</w:t>
      </w:r>
      <w:r w:rsidR="005F0DBC">
        <w:t xml:space="preserve"> following box</w:t>
      </w:r>
      <w:r>
        <w:t>: added, subtracted, or multiplied.</w:t>
      </w:r>
    </w:p>
    <w:p w14:paraId="77B34210" w14:textId="47F58524" w:rsidR="00EB3A3A" w:rsidRDefault="00EB3A3A">
      <w:pPr>
        <w:spacing w:line="259" w:lineRule="auto"/>
      </w:pPr>
      <w:r>
        <w:t xml:space="preserve">The four rectangular boxes at the right of the diagram are the key components used to calculate an agency’s municipal and industrial (M&amp;I) allocation. The wholesale minimum allocation can be considered as the “base” allocation, and the other three boxes are adjustments to the base allocation. The M&amp;I allocation was the only allocation evaluated for our project, but the WSAP also separately calculates an allocation for replenishment </w:t>
      </w:r>
      <w:r w:rsidR="00D57BF5">
        <w:t xml:space="preserve">and seawater barrier </w:t>
      </w:r>
      <w:r>
        <w:t>allocation</w:t>
      </w:r>
      <w:r w:rsidR="00D57BF5">
        <w:t>s.</w:t>
      </w:r>
      <w:r>
        <w:t xml:space="preserve"> </w:t>
      </w:r>
    </w:p>
    <w:p w14:paraId="1944A6D7" w14:textId="77777777" w:rsidR="00EB3A3A" w:rsidRDefault="00EB3A3A">
      <w:pPr>
        <w:spacing w:line="259" w:lineRule="auto"/>
      </w:pPr>
    </w:p>
    <w:p w14:paraId="3416EE17" w14:textId="1D3656A2" w:rsidR="00BB0BF5" w:rsidRDefault="00BB0BF5">
      <w:pPr>
        <w:spacing w:line="259" w:lineRule="auto"/>
      </w:pPr>
      <w:r>
        <w:br w:type="page"/>
      </w:r>
    </w:p>
    <w:p w14:paraId="6981C01E" w14:textId="77777777" w:rsidR="00BB0BF5" w:rsidRDefault="00BB0BF5" w:rsidP="00BB0BF5">
      <w:pPr>
        <w:keepNext/>
      </w:pPr>
      <w:r>
        <w:rPr>
          <w:noProof/>
        </w:rPr>
        <w:lastRenderedPageBreak/>
        <w:drawing>
          <wp:inline distT="0" distB="0" distL="0" distR="0" wp14:anchorId="5266746A" wp14:editId="3830D802">
            <wp:extent cx="6804405" cy="5257800"/>
            <wp:effectExtent l="0" t="7937" r="7937" b="7938"/>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ete wsap diagram jpg.jpg"/>
                    <pic:cNvPicPr/>
                  </pic:nvPicPr>
                  <pic:blipFill>
                    <a:blip r:embed="rId37">
                      <a:extLst>
                        <a:ext uri="{28A0092B-C50C-407E-A947-70E740481C1C}">
                          <a14:useLocalDpi xmlns:a14="http://schemas.microsoft.com/office/drawing/2010/main" val="0"/>
                        </a:ext>
                      </a:extLst>
                    </a:blip>
                    <a:stretch>
                      <a:fillRect/>
                    </a:stretch>
                  </pic:blipFill>
                  <pic:spPr>
                    <a:xfrm rot="16200000">
                      <a:off x="0" y="0"/>
                      <a:ext cx="6804405" cy="5257800"/>
                    </a:xfrm>
                    <a:prstGeom prst="rect">
                      <a:avLst/>
                    </a:prstGeom>
                  </pic:spPr>
                </pic:pic>
              </a:graphicData>
            </a:graphic>
          </wp:inline>
        </w:drawing>
      </w:r>
    </w:p>
    <w:p w14:paraId="5BE40C9E" w14:textId="024A1BBD" w:rsidR="00D57BF5" w:rsidRDefault="001D22F4" w:rsidP="001D22F4">
      <w:pPr>
        <w:pStyle w:val="Caption"/>
      </w:pPr>
      <w:bookmarkStart w:id="60" w:name="_Ref416277698"/>
      <w:bookmarkStart w:id="61" w:name="_Toc416362765"/>
      <w:r>
        <w:t xml:space="preserve">Figure </w:t>
      </w:r>
      <w:r w:rsidR="00DF236E">
        <w:fldChar w:fldCharType="begin"/>
      </w:r>
      <w:r w:rsidR="00DF236E">
        <w:instrText xml:space="preserve"> STYLEREF 1 \s </w:instrText>
      </w:r>
      <w:r w:rsidR="00DF236E">
        <w:fldChar w:fldCharType="separate"/>
      </w:r>
      <w:r w:rsidR="00DC1192">
        <w:rPr>
          <w:noProof/>
        </w:rPr>
        <w:t>9</w:t>
      </w:r>
      <w:r w:rsidR="00DF236E">
        <w:rPr>
          <w:noProof/>
        </w:rPr>
        <w:fldChar w:fldCharType="end"/>
      </w:r>
      <w:r w:rsidR="00DC1192">
        <w:noBreakHyphen/>
      </w:r>
      <w:r w:rsidR="00DF236E">
        <w:fldChar w:fldCharType="begin"/>
      </w:r>
      <w:r w:rsidR="00DF236E">
        <w:instrText xml:space="preserve"> SEQ Figure \* ARABIC</w:instrText>
      </w:r>
      <w:r w:rsidR="00DF236E">
        <w:instrText xml:space="preserve"> \s 1 </w:instrText>
      </w:r>
      <w:r w:rsidR="00DF236E">
        <w:fldChar w:fldCharType="separate"/>
      </w:r>
      <w:r w:rsidR="00DC1192">
        <w:rPr>
          <w:noProof/>
        </w:rPr>
        <w:t>1</w:t>
      </w:r>
      <w:r w:rsidR="00DF236E">
        <w:rPr>
          <w:noProof/>
        </w:rPr>
        <w:fldChar w:fldCharType="end"/>
      </w:r>
      <w:bookmarkEnd w:id="60"/>
      <w:r>
        <w:t>. Met’s 2015 Supply Allocation Plan.</w:t>
      </w:r>
      <w:bookmarkEnd w:id="61"/>
      <w:r w:rsidR="00D57BF5">
        <w:br w:type="page"/>
      </w:r>
    </w:p>
    <w:p w14:paraId="528F61E3" w14:textId="055B0041" w:rsidR="001D22F4" w:rsidRDefault="001D22F4" w:rsidP="001D22F4">
      <w:pPr>
        <w:pStyle w:val="Caption"/>
      </w:pPr>
      <w:bookmarkStart w:id="62" w:name="_Ref416277778"/>
      <w:r>
        <w:lastRenderedPageBreak/>
        <w:t xml:space="preserve">Table </w:t>
      </w:r>
      <w:r w:rsidR="00DF236E">
        <w:fldChar w:fldCharType="begin"/>
      </w:r>
      <w:r w:rsidR="00DF236E">
        <w:instrText xml:space="preserve"> STYLEREF 1 \s </w:instrText>
      </w:r>
      <w:r w:rsidR="00DF236E">
        <w:fldChar w:fldCharType="separate"/>
      </w:r>
      <w:r w:rsidR="009C6DFD">
        <w:rPr>
          <w:noProof/>
        </w:rPr>
        <w:t>9</w:t>
      </w:r>
      <w:r w:rsidR="00DF236E">
        <w:rPr>
          <w:noProof/>
        </w:rPr>
        <w:fldChar w:fldCharType="end"/>
      </w:r>
      <w:r w:rsidR="009C6DFD">
        <w:noBreakHyphen/>
      </w:r>
      <w:r w:rsidR="00DF236E">
        <w:fldChar w:fldCharType="begin"/>
      </w:r>
      <w:r w:rsidR="00DF236E">
        <w:instrText xml:space="preserve"> SEQ Table \* ARABIC \s 1 </w:instrText>
      </w:r>
      <w:r w:rsidR="00DF236E">
        <w:fldChar w:fldCharType="separate"/>
      </w:r>
      <w:r w:rsidR="009C6DFD">
        <w:rPr>
          <w:noProof/>
        </w:rPr>
        <w:t>1</w:t>
      </w:r>
      <w:r w:rsidR="00DF236E">
        <w:rPr>
          <w:noProof/>
        </w:rPr>
        <w:fldChar w:fldCharType="end"/>
      </w:r>
      <w:bookmarkEnd w:id="62"/>
      <w:r>
        <w:t>. Estimated</w:t>
      </w:r>
      <w:r w:rsidRPr="001D22F4">
        <w:t xml:space="preserve"> allocations to each of the 26 Met member agencies under the Met 2015 WSAP and the </w:t>
      </w:r>
      <w:proofErr w:type="spellStart"/>
      <w:r w:rsidRPr="001D22F4">
        <w:t>BrenSAP</w:t>
      </w:r>
      <w:proofErr w:type="spellEnd"/>
      <w:r w:rsidRPr="001D22F4">
        <w:t xml:space="preserve"> developed for this project. The assumptions (supply, demand, population, conservation, etc.) used to calculate these results </w:t>
      </w:r>
      <w:proofErr w:type="gramStart"/>
      <w:r w:rsidRPr="001D22F4">
        <w:t>can</w:t>
      </w:r>
      <w:proofErr w:type="gramEnd"/>
      <w:r w:rsidRPr="001D22F4">
        <w:t xml:space="preserve"> be found in the attached Excel document in “Document A-1.”</w:t>
      </w:r>
    </w:p>
    <w:p w14:paraId="1DBD83D6" w14:textId="7578F4B6" w:rsidR="00CA1D03" w:rsidRDefault="005163EE" w:rsidP="00CA1D03">
      <w:pPr>
        <w:pStyle w:val="Normal1"/>
        <w:spacing w:after="0" w:line="276" w:lineRule="auto"/>
        <w:jc w:val="center"/>
      </w:pPr>
      <w:r w:rsidRPr="005163EE">
        <w:rPr>
          <w:noProof/>
        </w:rPr>
        <w:drawing>
          <wp:inline distT="0" distB="0" distL="0" distR="0" wp14:anchorId="2DBA7300" wp14:editId="28483729">
            <wp:extent cx="3619500" cy="6391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19500" cy="6391275"/>
                    </a:xfrm>
                    <a:prstGeom prst="rect">
                      <a:avLst/>
                    </a:prstGeom>
                    <a:noFill/>
                    <a:ln>
                      <a:noFill/>
                    </a:ln>
                  </pic:spPr>
                </pic:pic>
              </a:graphicData>
            </a:graphic>
          </wp:inline>
        </w:drawing>
      </w:r>
    </w:p>
    <w:p w14:paraId="0B13F350" w14:textId="77777777" w:rsidR="00A21172" w:rsidRDefault="00A21172">
      <w:pPr>
        <w:spacing w:line="259" w:lineRule="auto"/>
      </w:pPr>
      <w:r>
        <w:br w:type="page"/>
      </w:r>
    </w:p>
    <w:p w14:paraId="4436B46C" w14:textId="73C942C8" w:rsidR="00CA1D03" w:rsidRPr="00CA1D03" w:rsidRDefault="00415274" w:rsidP="00CA1D03">
      <w:r>
        <w:lastRenderedPageBreak/>
        <w:t xml:space="preserve">Document A-1. </w:t>
      </w:r>
      <w:r w:rsidR="00042AD1">
        <w:t xml:space="preserve">Assumptions used to calculate WSAP and </w:t>
      </w:r>
      <w:proofErr w:type="spellStart"/>
      <w:r w:rsidR="00042AD1">
        <w:t>BrenSAP</w:t>
      </w:r>
      <w:proofErr w:type="spellEnd"/>
      <w:r w:rsidR="00042AD1">
        <w:t xml:space="preserve"> allocations</w:t>
      </w:r>
    </w:p>
    <w:p w14:paraId="0CFE1975" w14:textId="1A7A0FA5" w:rsidR="00C65DC2" w:rsidRDefault="00415274" w:rsidP="00D57BF5">
      <w:pPr>
        <w:sectPr w:rsidR="00C65DC2" w:rsidSect="00AC0D5A">
          <w:footerReference w:type="default" r:id="rId39"/>
          <w:endnotePr>
            <w:numFmt w:val="decimal"/>
          </w:endnotePr>
          <w:type w:val="continuous"/>
          <w:pgSz w:w="12240" w:h="15840"/>
          <w:pgMar w:top="1800" w:right="1800" w:bottom="1800" w:left="2160" w:header="720" w:footer="720" w:gutter="0"/>
          <w:cols w:space="720"/>
        </w:sectPr>
      </w:pPr>
      <w:r>
        <w:object w:dxaOrig="1531" w:dyaOrig="991" w14:anchorId="185546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50pt" o:ole="">
            <v:imagedata r:id="rId40" o:title=""/>
          </v:shape>
          <o:OLEObject Type="Embed" ProgID="Excel.SheetMacroEnabled.12" ShapeID="_x0000_i1025" DrawAspect="Icon" ObjectID="_1364834801" r:id="rId41"/>
        </w:object>
      </w:r>
    </w:p>
    <w:p w14:paraId="3187130C" w14:textId="5A9D889A" w:rsidR="001C3523" w:rsidRPr="00361D62" w:rsidRDefault="00361D62" w:rsidP="00361D62">
      <w:pPr>
        <w:pStyle w:val="Heading1"/>
      </w:pPr>
      <w:bookmarkStart w:id="63" w:name="_Toc416611313"/>
      <w:r w:rsidRPr="00361D62">
        <w:lastRenderedPageBreak/>
        <w:t>A</w:t>
      </w:r>
      <w:r>
        <w:t>ppendix</w:t>
      </w:r>
      <w:r w:rsidR="001C3523" w:rsidRPr="00361D62">
        <w:t xml:space="preserve"> </w:t>
      </w:r>
      <w:r w:rsidR="00BF3A7A">
        <w:t>B</w:t>
      </w:r>
      <w:r w:rsidR="001C3523" w:rsidRPr="00361D62">
        <w:t xml:space="preserve">: </w:t>
      </w:r>
      <w:r w:rsidR="005741F1" w:rsidRPr="00361D62">
        <w:t>Alternative Allocation Systems</w:t>
      </w:r>
      <w:bookmarkEnd w:id="63"/>
    </w:p>
    <w:p w14:paraId="2CFA5984" w14:textId="77777777" w:rsidR="00B617F1" w:rsidRDefault="00B617F1" w:rsidP="00B617F1">
      <w:r>
        <w:t xml:space="preserve">When analyzing alternative allocation systems, in order to meaningfully compare allocations to each other the total supply of water must be the same for each allocation system. We held the total supply of water available under each system to be the same as the total supply allocated by the 2015 WSAP under two supply scenarios: No shortage, and a 10% reduction (Stage 2 Shortage). As of February 2015, Met anticipates a Stage 2 shortage for the 2015-16 water </w:t>
      </w:r>
      <w:proofErr w:type="gramStart"/>
      <w:r>
        <w:t>year</w:t>
      </w:r>
      <w:proofErr w:type="gramEnd"/>
      <w:r>
        <w:t>.</w:t>
      </w:r>
      <w:r>
        <w:rPr>
          <w:rStyle w:val="EndnoteReference"/>
        </w:rPr>
        <w:endnoteReference w:id="25"/>
      </w:r>
    </w:p>
    <w:p w14:paraId="1B48E988" w14:textId="77777777" w:rsidR="00B617F1" w:rsidRDefault="00B617F1" w:rsidP="006F52E4">
      <w:pPr>
        <w:pStyle w:val="Heading2"/>
      </w:pPr>
      <w:bookmarkStart w:id="64" w:name="_Toc416611314"/>
      <w:r>
        <w:t>Preferential Rights</w:t>
      </w:r>
      <w:bookmarkEnd w:id="64"/>
    </w:p>
    <w:p w14:paraId="5733D24F" w14:textId="77777777" w:rsidR="00B617F1" w:rsidRDefault="00B617F1" w:rsidP="00B617F1">
      <w:r>
        <w:t xml:space="preserve">Preferential rights are determined by calculating each agency's cumulative historical payments, in nominal </w:t>
      </w:r>
      <w:proofErr w:type="spellStart"/>
      <w:r>
        <w:t>unindexed</w:t>
      </w:r>
      <w:proofErr w:type="spellEnd"/>
      <w:r>
        <w:t xml:space="preserve"> dollars, for four types of contributions:</w:t>
      </w:r>
    </w:p>
    <w:p w14:paraId="7A17FA9C" w14:textId="77777777" w:rsidR="00B617F1" w:rsidRDefault="00B617F1" w:rsidP="00B617F1">
      <w:pPr>
        <w:pStyle w:val="ListParagraph"/>
        <w:numPr>
          <w:ilvl w:val="0"/>
          <w:numId w:val="33"/>
        </w:numPr>
      </w:pPr>
      <w:r>
        <w:t>Property taxes, excluding the agency annexation fee (1930 – present)</w:t>
      </w:r>
    </w:p>
    <w:p w14:paraId="04F631AE" w14:textId="77777777" w:rsidR="00B617F1" w:rsidRDefault="00B617F1" w:rsidP="00B617F1">
      <w:pPr>
        <w:pStyle w:val="ListParagraph"/>
        <w:numPr>
          <w:ilvl w:val="0"/>
          <w:numId w:val="33"/>
        </w:numPr>
      </w:pPr>
      <w:r>
        <w:t>Readiness-to-Serve charge (1993 – present)</w:t>
      </w:r>
    </w:p>
    <w:p w14:paraId="73DC8F30" w14:textId="77777777" w:rsidR="00B617F1" w:rsidRDefault="00B617F1" w:rsidP="00B617F1">
      <w:pPr>
        <w:pStyle w:val="ListParagraph"/>
        <w:numPr>
          <w:ilvl w:val="0"/>
          <w:numId w:val="33"/>
        </w:numPr>
      </w:pPr>
      <w:r>
        <w:t>Capacity charge (2003 – present)</w:t>
      </w:r>
    </w:p>
    <w:p w14:paraId="6F6E205E" w14:textId="77777777" w:rsidR="00B617F1" w:rsidRDefault="00B617F1" w:rsidP="00B617F1">
      <w:pPr>
        <w:pStyle w:val="ListParagraph"/>
        <w:numPr>
          <w:ilvl w:val="0"/>
          <w:numId w:val="33"/>
        </w:numPr>
      </w:pPr>
      <w:r>
        <w:t>Contributions in aid of construction (1930 – present).</w:t>
      </w:r>
    </w:p>
    <w:p w14:paraId="6EDCA09E" w14:textId="77777777" w:rsidR="00B617F1" w:rsidRDefault="00B617F1" w:rsidP="00B617F1">
      <w:r>
        <w:t xml:space="preserve">The result is expressed as a percentage of the total payments for all agencies. </w:t>
      </w:r>
      <w:r w:rsidRPr="003E1DA2">
        <w:t>Importantly, payments related to the actual purchase of water are excluded from the calculation of preferential rights.</w:t>
      </w:r>
      <w:r>
        <w:rPr>
          <w:rStyle w:val="EndnoteReference"/>
        </w:rPr>
        <w:endnoteReference w:id="26"/>
      </w:r>
      <w:r>
        <w:t xml:space="preserve"> Note also that the use of </w:t>
      </w:r>
      <w:proofErr w:type="spellStart"/>
      <w:r>
        <w:t>unindexed</w:t>
      </w:r>
      <w:proofErr w:type="spellEnd"/>
      <w:r>
        <w:t xml:space="preserve"> payments in nominal dollars gives greater weight to payments made in the past than if inflation-adjusted payments in real dollars were used; this places agencies that joined Met in later years at a disadvantage.</w:t>
      </w:r>
    </w:p>
    <w:p w14:paraId="210AD1F3" w14:textId="7A028328" w:rsidR="00B617F1" w:rsidRDefault="00B617F1" w:rsidP="00B617F1">
      <w:r>
        <w:t xml:space="preserve">We obtained published preferential rights from Met for year 2013, the most recent available. We then adjusted them by the annual rate of growth from 2010—13 to give estimated 2015 values. To convert the rights into water allocations that can be compared with the status quo </w:t>
      </w:r>
      <w:r w:rsidR="006E20CC">
        <w:t>WSAP</w:t>
      </w:r>
      <w:r>
        <w:t xml:space="preserve">, we multiplied each agency’s rights by the total supply of water calculated by the 2015 </w:t>
      </w:r>
      <w:r w:rsidR="006E20CC">
        <w:t>WSAP</w:t>
      </w:r>
      <w:r>
        <w:t xml:space="preserve"> under both a No Shortage and a Shortage Level 2 scenario.</w:t>
      </w:r>
    </w:p>
    <w:p w14:paraId="37251731" w14:textId="77777777" w:rsidR="00B617F1" w:rsidRDefault="00B617F1" w:rsidP="00B617F1">
      <w:pPr>
        <w:pStyle w:val="Heading3"/>
      </w:pPr>
      <w:r>
        <w:t>Modified Preferential Rights</w:t>
      </w:r>
    </w:p>
    <w:p w14:paraId="24F78A52" w14:textId="4FCA5147" w:rsidR="00B617F1" w:rsidRPr="009C6225" w:rsidRDefault="00B617F1" w:rsidP="00B617F1">
      <w:r>
        <w:t>Preferential rights as an allocation system has been criticized by some agencies</w:t>
      </w:r>
      <w:r w:rsidR="006C2AEA">
        <w:t xml:space="preserve"> because it</w:t>
      </w:r>
      <w:r>
        <w:t xml:space="preserve"> does not account for contributions related to the volumetric purchases of water. </w:t>
      </w:r>
      <w:r w:rsidRPr="009C6225">
        <w:t>To address some of the equity concerns over</w:t>
      </w:r>
      <w:r>
        <w:t xml:space="preserve"> preferential rights, we explored</w:t>
      </w:r>
      <w:r w:rsidRPr="009C6225">
        <w:t xml:space="preserve"> </w:t>
      </w:r>
      <w:r w:rsidRPr="009C6225">
        <w:lastRenderedPageBreak/>
        <w:t xml:space="preserve">an allocation system called Modified Preferential Rights (MPR), which </w:t>
      </w:r>
      <w:r>
        <w:t>is calculated similarly to existing</w:t>
      </w:r>
      <w:r w:rsidRPr="009C6225">
        <w:t xml:space="preserve"> preferential </w:t>
      </w:r>
      <w:r w:rsidR="00040442">
        <w:t>rights (PR) but differs in two</w:t>
      </w:r>
      <w:r w:rsidRPr="009C6225">
        <w:t xml:space="preserve"> regards:</w:t>
      </w:r>
    </w:p>
    <w:p w14:paraId="47822542" w14:textId="77777777" w:rsidR="00B617F1" w:rsidRPr="009C6225" w:rsidRDefault="00B617F1" w:rsidP="00B617F1">
      <w:pPr>
        <w:pStyle w:val="ListParagraph"/>
        <w:numPr>
          <w:ilvl w:val="0"/>
          <w:numId w:val="14"/>
        </w:numPr>
        <w:spacing w:after="200"/>
      </w:pPr>
      <w:r w:rsidRPr="009C6225">
        <w:t>MPR incorporate cumulative historical water purchases from Met over the lifetime of the agency.</w:t>
      </w:r>
    </w:p>
    <w:p w14:paraId="29D16485" w14:textId="77777777" w:rsidR="00B617F1" w:rsidRPr="009C6225" w:rsidRDefault="00B617F1" w:rsidP="00B617F1">
      <w:pPr>
        <w:pStyle w:val="ListParagraph"/>
        <w:numPr>
          <w:ilvl w:val="0"/>
          <w:numId w:val="14"/>
        </w:numPr>
        <w:spacing w:after="200"/>
      </w:pPr>
      <w:r w:rsidRPr="009C6225">
        <w:t>As with our other allocation systems, MPR do not provide a</w:t>
      </w:r>
      <w:r>
        <w:t>n ownership</w:t>
      </w:r>
      <w:r w:rsidRPr="009C6225">
        <w:t xml:space="preserve"> right to </w:t>
      </w:r>
      <w:proofErr w:type="gramStart"/>
      <w:r w:rsidRPr="009C6225">
        <w:t>a</w:t>
      </w:r>
      <w:r>
        <w:t>n</w:t>
      </w:r>
      <w:proofErr w:type="gramEnd"/>
      <w:r w:rsidRPr="009C6225">
        <w:t xml:space="preserve"> share of water, but rather a right to purchase a share of water at a fixed annual rate.</w:t>
      </w:r>
    </w:p>
    <w:p w14:paraId="610A0826" w14:textId="1F9CE9F6" w:rsidR="00B617F1" w:rsidRDefault="00B617F1" w:rsidP="00B617F1">
      <w:r w:rsidRPr="009C6225">
        <w:t>To calculate the Modified Preferential Rights for each agency, we obtained data on annual nominal payments made to Met from 1930 to 2010, broken down by agency and type of payment.</w:t>
      </w:r>
      <w:r w:rsidRPr="009C6225">
        <w:rPr>
          <w:rStyle w:val="EndnoteReference"/>
        </w:rPr>
        <w:endnoteReference w:id="27"/>
      </w:r>
      <w:r w:rsidRPr="009C6225">
        <w:t xml:space="preserve"> The 2010 rights for an arbitrary agency </w:t>
      </w:r>
      <w:r w:rsidRPr="009C6225">
        <w:rPr>
          <w:i/>
        </w:rPr>
        <w:t>j</w:t>
      </w:r>
      <w:r w:rsidRPr="009C6225">
        <w:t xml:space="preserve"> were calculated according to the formula</w:t>
      </w:r>
      <w:r w:rsidR="009C6DFD">
        <w:t>:</w:t>
      </w:r>
    </w:p>
    <w:p w14:paraId="58E77EBB" w14:textId="77777777" w:rsidR="00B617F1" w:rsidRPr="008046E7" w:rsidRDefault="00DF236E" w:rsidP="00B617F1">
      <w:pPr>
        <w:spacing w:line="480" w:lineRule="auto"/>
      </w:pPr>
      <m:oMathPara>
        <m:oMath>
          <m:sSub>
            <m:sSubPr>
              <m:ctrlPr>
                <w:rPr>
                  <w:rFonts w:ascii="Cambria Math" w:hAnsi="Cambria Math"/>
                  <w:i/>
                  <w:sz w:val="22"/>
                </w:rPr>
              </m:ctrlPr>
            </m:sSubPr>
            <m:e>
              <m:r>
                <m:rPr>
                  <m:sty m:val="bi"/>
                </m:rPr>
                <w:rPr>
                  <w:rFonts w:ascii="Cambria Math" w:hAnsi="Cambria Math"/>
                  <w:sz w:val="22"/>
                </w:rPr>
                <m:t>MPR</m:t>
              </m:r>
            </m:e>
            <m:sub>
              <m:r>
                <w:rPr>
                  <w:rFonts w:ascii="Cambria Math" w:hAnsi="Cambria Math"/>
                  <w:sz w:val="22"/>
                </w:rPr>
                <m:t>j, 2010</m:t>
              </m:r>
            </m:sub>
          </m:sSub>
          <m:r>
            <w:rPr>
              <w:rFonts w:ascii="Cambria Math" w:hAnsi="Cambria Math"/>
              <w:sz w:val="22"/>
            </w:rPr>
            <m:t xml:space="preserve"> </m:t>
          </m:r>
          <m:d>
            <m:dPr>
              <m:ctrlPr>
                <w:rPr>
                  <w:rFonts w:ascii="Cambria Math" w:hAnsi="Cambria Math"/>
                  <w:i/>
                  <w:sz w:val="22"/>
                </w:rPr>
              </m:ctrlPr>
            </m:dPr>
            <m:e>
              <m:r>
                <w:rPr>
                  <w:rFonts w:ascii="Cambria Math" w:hAnsi="Cambria Math"/>
                  <w:sz w:val="22"/>
                </w:rPr>
                <m:t>%</m:t>
              </m:r>
            </m:e>
          </m:d>
          <m:r>
            <w:rPr>
              <w:rFonts w:ascii="Cambria Math" w:hAnsi="Cambria Math"/>
              <w:sz w:val="22"/>
            </w:rPr>
            <m:t xml:space="preserve">= </m:t>
          </m:r>
          <m:f>
            <m:fPr>
              <m:ctrlPr>
                <w:rPr>
                  <w:rFonts w:ascii="Cambria Math" w:hAnsi="Cambria Math"/>
                  <w:i/>
                  <w:sz w:val="22"/>
                </w:rPr>
              </m:ctrlPr>
            </m:fPr>
            <m:num>
              <m:nary>
                <m:naryPr>
                  <m:chr m:val="∑"/>
                  <m:limLoc m:val="undOvr"/>
                  <m:ctrlPr>
                    <w:rPr>
                      <w:rFonts w:ascii="Cambria Math" w:hAnsi="Cambria Math"/>
                      <w:i/>
                      <w:sz w:val="22"/>
                    </w:rPr>
                  </m:ctrlPr>
                </m:naryPr>
                <m:sub>
                  <m:r>
                    <w:rPr>
                      <w:rFonts w:ascii="Cambria Math" w:hAnsi="Cambria Math"/>
                      <w:sz w:val="22"/>
                    </w:rPr>
                    <m:t>1930</m:t>
                  </m:r>
                </m:sub>
                <m:sup>
                  <m:r>
                    <w:rPr>
                      <w:rFonts w:ascii="Cambria Math" w:hAnsi="Cambria Math"/>
                      <w:sz w:val="22"/>
                    </w:rPr>
                    <m:t>2010</m:t>
                  </m:r>
                </m:sup>
                <m:e>
                  <m:sSub>
                    <m:sSubPr>
                      <m:ctrlPr>
                        <w:rPr>
                          <w:rFonts w:ascii="Cambria Math" w:hAnsi="Cambria Math"/>
                          <w:i/>
                          <w:sz w:val="22"/>
                        </w:rPr>
                      </m:ctrlPr>
                    </m:sSubPr>
                    <m:e>
                      <m:r>
                        <m:rPr>
                          <m:sty m:val="bi"/>
                        </m:rPr>
                        <w:rPr>
                          <w:rFonts w:ascii="Cambria Math" w:hAnsi="Cambria Math"/>
                          <w:sz w:val="22"/>
                        </w:rPr>
                        <m:t>PropTax</m:t>
                      </m:r>
                    </m:e>
                    <m:sub>
                      <m:r>
                        <w:rPr>
                          <w:rFonts w:ascii="Cambria Math" w:hAnsi="Cambria Math"/>
                          <w:sz w:val="22"/>
                        </w:rPr>
                        <m:t>j</m:t>
                      </m:r>
                    </m:sub>
                  </m:sSub>
                </m:e>
              </m:nary>
              <m:r>
                <w:rPr>
                  <w:rFonts w:ascii="Cambria Math" w:hAnsi="Cambria Math"/>
                  <w:sz w:val="22"/>
                </w:rPr>
                <m:t>+</m:t>
              </m:r>
              <m:nary>
                <m:naryPr>
                  <m:chr m:val="∑"/>
                  <m:limLoc m:val="undOvr"/>
                  <m:ctrlPr>
                    <w:rPr>
                      <w:rFonts w:ascii="Cambria Math" w:hAnsi="Cambria Math"/>
                      <w:i/>
                      <w:sz w:val="22"/>
                    </w:rPr>
                  </m:ctrlPr>
                </m:naryPr>
                <m:sub>
                  <m:r>
                    <w:rPr>
                      <w:rFonts w:ascii="Cambria Math" w:hAnsi="Cambria Math"/>
                      <w:sz w:val="22"/>
                    </w:rPr>
                    <m:t>1993</m:t>
                  </m:r>
                </m:sub>
                <m:sup>
                  <m:r>
                    <w:rPr>
                      <w:rFonts w:ascii="Cambria Math" w:hAnsi="Cambria Math"/>
                      <w:sz w:val="22"/>
                    </w:rPr>
                    <m:t>2010</m:t>
                  </m:r>
                </m:sup>
                <m:e>
                  <m:sSub>
                    <m:sSubPr>
                      <m:ctrlPr>
                        <w:rPr>
                          <w:rFonts w:ascii="Cambria Math" w:hAnsi="Cambria Math"/>
                          <w:i/>
                          <w:sz w:val="22"/>
                        </w:rPr>
                      </m:ctrlPr>
                    </m:sSubPr>
                    <m:e>
                      <m:r>
                        <m:rPr>
                          <m:sty m:val="bi"/>
                        </m:rPr>
                        <w:rPr>
                          <w:rFonts w:ascii="Cambria Math" w:hAnsi="Cambria Math"/>
                          <w:sz w:val="22"/>
                        </w:rPr>
                        <m:t>RTS</m:t>
                      </m:r>
                    </m:e>
                    <m:sub>
                      <m:r>
                        <w:rPr>
                          <w:rFonts w:ascii="Cambria Math" w:hAnsi="Cambria Math"/>
                          <w:sz w:val="22"/>
                        </w:rPr>
                        <m:t>j</m:t>
                      </m:r>
                    </m:sub>
                  </m:sSub>
                </m:e>
              </m:nary>
              <m:r>
                <w:rPr>
                  <w:rFonts w:ascii="Cambria Math" w:hAnsi="Cambria Math"/>
                  <w:sz w:val="22"/>
                </w:rPr>
                <m:t>+</m:t>
              </m:r>
              <m:nary>
                <m:naryPr>
                  <m:chr m:val="∑"/>
                  <m:limLoc m:val="undOvr"/>
                  <m:ctrlPr>
                    <w:rPr>
                      <w:rFonts w:ascii="Cambria Math" w:hAnsi="Cambria Math"/>
                      <w:i/>
                      <w:sz w:val="22"/>
                    </w:rPr>
                  </m:ctrlPr>
                </m:naryPr>
                <m:sub>
                  <m:r>
                    <w:rPr>
                      <w:rFonts w:ascii="Cambria Math" w:hAnsi="Cambria Math"/>
                      <w:sz w:val="22"/>
                    </w:rPr>
                    <m:t>2003</m:t>
                  </m:r>
                </m:sub>
                <m:sup>
                  <m:r>
                    <w:rPr>
                      <w:rFonts w:ascii="Cambria Math" w:hAnsi="Cambria Math"/>
                      <w:sz w:val="22"/>
                    </w:rPr>
                    <m:t>2010</m:t>
                  </m:r>
                </m:sup>
                <m:e>
                  <m:sSub>
                    <m:sSubPr>
                      <m:ctrlPr>
                        <w:rPr>
                          <w:rFonts w:ascii="Cambria Math" w:hAnsi="Cambria Math"/>
                          <w:i/>
                          <w:sz w:val="22"/>
                        </w:rPr>
                      </m:ctrlPr>
                    </m:sSubPr>
                    <m:e>
                      <m:r>
                        <m:rPr>
                          <m:sty m:val="bi"/>
                        </m:rPr>
                        <w:rPr>
                          <w:rFonts w:ascii="Cambria Math" w:hAnsi="Cambria Math"/>
                          <w:sz w:val="22"/>
                        </w:rPr>
                        <m:t>CC</m:t>
                      </m:r>
                    </m:e>
                    <m:sub>
                      <m:r>
                        <w:rPr>
                          <w:rFonts w:ascii="Cambria Math" w:hAnsi="Cambria Math"/>
                          <w:sz w:val="22"/>
                        </w:rPr>
                        <m:t>j</m:t>
                      </m:r>
                    </m:sub>
                  </m:sSub>
                </m:e>
              </m:nary>
              <m:r>
                <w:rPr>
                  <w:rFonts w:ascii="Cambria Math" w:hAnsi="Cambria Math"/>
                  <w:sz w:val="22"/>
                </w:rPr>
                <m:t>+</m:t>
              </m:r>
              <m:nary>
                <m:naryPr>
                  <m:chr m:val="∑"/>
                  <m:limLoc m:val="undOvr"/>
                  <m:ctrlPr>
                    <w:rPr>
                      <w:rFonts w:ascii="Cambria Math" w:hAnsi="Cambria Math"/>
                      <w:i/>
                      <w:sz w:val="22"/>
                    </w:rPr>
                  </m:ctrlPr>
                </m:naryPr>
                <m:sub>
                  <m:r>
                    <w:rPr>
                      <w:rFonts w:ascii="Cambria Math" w:hAnsi="Cambria Math"/>
                      <w:sz w:val="22"/>
                    </w:rPr>
                    <m:t>1930</m:t>
                  </m:r>
                </m:sub>
                <m:sup>
                  <m:r>
                    <w:rPr>
                      <w:rFonts w:ascii="Cambria Math" w:hAnsi="Cambria Math"/>
                      <w:sz w:val="22"/>
                    </w:rPr>
                    <m:t>2010</m:t>
                  </m:r>
                </m:sup>
                <m:e>
                  <m:sSub>
                    <m:sSubPr>
                      <m:ctrlPr>
                        <w:rPr>
                          <w:rFonts w:ascii="Cambria Math" w:hAnsi="Cambria Math"/>
                          <w:i/>
                          <w:sz w:val="22"/>
                        </w:rPr>
                      </m:ctrlPr>
                    </m:sSubPr>
                    <m:e>
                      <m:r>
                        <m:rPr>
                          <m:sty m:val="bi"/>
                        </m:rPr>
                        <w:rPr>
                          <w:rFonts w:ascii="Cambria Math" w:hAnsi="Cambria Math"/>
                          <w:sz w:val="22"/>
                        </w:rPr>
                        <m:t>CAC</m:t>
                      </m:r>
                    </m:e>
                    <m:sub>
                      <m:r>
                        <w:rPr>
                          <w:rFonts w:ascii="Cambria Math" w:hAnsi="Cambria Math"/>
                          <w:sz w:val="22"/>
                        </w:rPr>
                        <m:t>j</m:t>
                      </m:r>
                    </m:sub>
                  </m:sSub>
                </m:e>
              </m:nary>
              <m:r>
                <w:rPr>
                  <w:rFonts w:ascii="Cambria Math" w:hAnsi="Cambria Math"/>
                  <w:sz w:val="22"/>
                </w:rPr>
                <m:t>+</m:t>
              </m:r>
              <m:nary>
                <m:naryPr>
                  <m:chr m:val="∑"/>
                  <m:limLoc m:val="undOvr"/>
                  <m:ctrlPr>
                    <w:rPr>
                      <w:rFonts w:ascii="Cambria Math" w:hAnsi="Cambria Math"/>
                      <w:i/>
                      <w:sz w:val="22"/>
                    </w:rPr>
                  </m:ctrlPr>
                </m:naryPr>
                <m:sub>
                  <m:r>
                    <w:rPr>
                      <w:rFonts w:ascii="Cambria Math" w:hAnsi="Cambria Math"/>
                      <w:sz w:val="22"/>
                    </w:rPr>
                    <m:t>1930</m:t>
                  </m:r>
                </m:sub>
                <m:sup>
                  <m:r>
                    <w:rPr>
                      <w:rFonts w:ascii="Cambria Math" w:hAnsi="Cambria Math"/>
                      <w:sz w:val="22"/>
                    </w:rPr>
                    <m:t>2010</m:t>
                  </m:r>
                </m:sup>
                <m:e>
                  <m:sSub>
                    <m:sSubPr>
                      <m:ctrlPr>
                        <w:rPr>
                          <w:rFonts w:ascii="Cambria Math" w:hAnsi="Cambria Math"/>
                          <w:i/>
                          <w:sz w:val="22"/>
                        </w:rPr>
                      </m:ctrlPr>
                    </m:sSubPr>
                    <m:e>
                      <m:r>
                        <m:rPr>
                          <m:sty m:val="bi"/>
                        </m:rPr>
                        <w:rPr>
                          <w:rFonts w:ascii="Cambria Math" w:hAnsi="Cambria Math"/>
                          <w:sz w:val="22"/>
                        </w:rPr>
                        <m:t>Water</m:t>
                      </m:r>
                    </m:e>
                    <m:sub>
                      <m:r>
                        <w:rPr>
                          <w:rFonts w:ascii="Cambria Math" w:hAnsi="Cambria Math"/>
                          <w:sz w:val="22"/>
                        </w:rPr>
                        <m:t>j</m:t>
                      </m:r>
                    </m:sub>
                  </m:sSub>
                </m:e>
              </m:nary>
            </m:num>
            <m:den>
              <m:nary>
                <m:naryPr>
                  <m:chr m:val="∑"/>
                  <m:limLoc m:val="undOvr"/>
                  <m:ctrlPr>
                    <w:rPr>
                      <w:rFonts w:ascii="Cambria Math" w:hAnsi="Cambria Math"/>
                      <w:i/>
                      <w:sz w:val="22"/>
                    </w:rPr>
                  </m:ctrlPr>
                </m:naryPr>
                <m:sub>
                  <m:r>
                    <w:rPr>
                      <w:rFonts w:ascii="Cambria Math" w:hAnsi="Cambria Math"/>
                      <w:sz w:val="22"/>
                    </w:rPr>
                    <m:t>1930</m:t>
                  </m:r>
                </m:sub>
                <m:sup>
                  <m:r>
                    <w:rPr>
                      <w:rFonts w:ascii="Cambria Math" w:hAnsi="Cambria Math"/>
                      <w:sz w:val="22"/>
                    </w:rPr>
                    <m:t>2010</m:t>
                  </m:r>
                </m:sup>
                <m:e>
                  <m:r>
                    <w:rPr>
                      <w:rFonts w:ascii="Cambria Math" w:hAnsi="Cambria Math"/>
                      <w:sz w:val="22"/>
                    </w:rPr>
                    <m:t>Total Payments from all agencies</m:t>
                  </m:r>
                </m:e>
              </m:nary>
            </m:den>
          </m:f>
          <m:r>
            <w:rPr>
              <w:rFonts w:ascii="Cambria Math" w:hAnsi="Cambria Math"/>
              <w:sz w:val="22"/>
            </w:rPr>
            <m:t>×100</m:t>
          </m:r>
        </m:oMath>
      </m:oMathPara>
    </w:p>
    <w:p w14:paraId="43F5BF79" w14:textId="77777777" w:rsidR="00B617F1" w:rsidRDefault="00B617F1" w:rsidP="00B617F1">
      <w:proofErr w:type="gramStart"/>
      <w:r>
        <w:t>where</w:t>
      </w:r>
      <w:proofErr w:type="gramEnd"/>
      <w:r>
        <w:t>:</w:t>
      </w:r>
    </w:p>
    <w:p w14:paraId="45BF623E" w14:textId="77777777" w:rsidR="00B617F1" w:rsidRPr="004A7006" w:rsidRDefault="00B617F1" w:rsidP="00B617F1">
      <w:pPr>
        <w:pStyle w:val="ListParagraph"/>
        <w:numPr>
          <w:ilvl w:val="0"/>
          <w:numId w:val="15"/>
        </w:numPr>
        <w:spacing w:after="200"/>
      </w:pPr>
      <w:proofErr w:type="spellStart"/>
      <w:r w:rsidRPr="004A7006">
        <w:rPr>
          <w:i/>
        </w:rPr>
        <w:t>PropTax</w:t>
      </w:r>
      <w:proofErr w:type="spellEnd"/>
      <w:r w:rsidRPr="004A7006">
        <w:t xml:space="preserve"> is the </w:t>
      </w:r>
      <w:r>
        <w:t xml:space="preserve">annual </w:t>
      </w:r>
      <w:r w:rsidRPr="004A7006">
        <w:t xml:space="preserve">property tax revenue (excluding </w:t>
      </w:r>
      <w:r>
        <w:t xml:space="preserve">agency </w:t>
      </w:r>
      <w:r w:rsidRPr="004A7006">
        <w:t>annexation fees)</w:t>
      </w:r>
    </w:p>
    <w:p w14:paraId="5A28C3D5" w14:textId="77777777" w:rsidR="00B617F1" w:rsidRPr="004A7006" w:rsidRDefault="00B617F1" w:rsidP="00B617F1">
      <w:pPr>
        <w:pStyle w:val="ListParagraph"/>
        <w:numPr>
          <w:ilvl w:val="0"/>
          <w:numId w:val="15"/>
        </w:numPr>
        <w:spacing w:after="200"/>
      </w:pPr>
      <w:r w:rsidRPr="004A7006">
        <w:rPr>
          <w:i/>
        </w:rPr>
        <w:t>RTS</w:t>
      </w:r>
      <w:r w:rsidRPr="004A7006">
        <w:t xml:space="preserve"> </w:t>
      </w:r>
      <w:r>
        <w:t>are annual payments from</w:t>
      </w:r>
      <w:r w:rsidRPr="004A7006">
        <w:t xml:space="preserve"> the Readiness-to-Ser</w:t>
      </w:r>
      <w:r>
        <w:t>ve charge (instituted in 1993)</w:t>
      </w:r>
    </w:p>
    <w:p w14:paraId="68ED9E04" w14:textId="77777777" w:rsidR="00B617F1" w:rsidRPr="004A7006" w:rsidRDefault="00B617F1" w:rsidP="00B617F1">
      <w:pPr>
        <w:pStyle w:val="ListParagraph"/>
        <w:numPr>
          <w:ilvl w:val="0"/>
          <w:numId w:val="15"/>
        </w:numPr>
        <w:spacing w:after="200"/>
      </w:pPr>
      <w:r w:rsidRPr="004A7006">
        <w:rPr>
          <w:i/>
        </w:rPr>
        <w:t>CC</w:t>
      </w:r>
      <w:r w:rsidRPr="004A7006">
        <w:t xml:space="preserve"> </w:t>
      </w:r>
      <w:r>
        <w:t>are annual payments from</w:t>
      </w:r>
      <w:r w:rsidRPr="004A7006">
        <w:t xml:space="preserve"> the Capacity Charge (instituted in </w:t>
      </w:r>
      <w:r>
        <w:t>2003)</w:t>
      </w:r>
    </w:p>
    <w:p w14:paraId="7ED3DEE9" w14:textId="77777777" w:rsidR="00B617F1" w:rsidRPr="004A7006" w:rsidRDefault="00B617F1" w:rsidP="00B617F1">
      <w:pPr>
        <w:pStyle w:val="ListParagraph"/>
        <w:numPr>
          <w:ilvl w:val="0"/>
          <w:numId w:val="15"/>
        </w:numPr>
        <w:spacing w:after="200"/>
      </w:pPr>
      <w:r w:rsidRPr="004A7006">
        <w:rPr>
          <w:i/>
        </w:rPr>
        <w:t>CAC</w:t>
      </w:r>
      <w:r w:rsidRPr="004A7006">
        <w:t xml:space="preserve"> are </w:t>
      </w:r>
      <w:r>
        <w:t xml:space="preserve">annual payments for </w:t>
      </w:r>
      <w:r w:rsidRPr="004A7006">
        <w:t>Contributions in Aid of Construction</w:t>
      </w:r>
    </w:p>
    <w:p w14:paraId="211B7A39" w14:textId="77777777" w:rsidR="00B617F1" w:rsidRPr="006F4AC7" w:rsidRDefault="00B617F1" w:rsidP="00B617F1">
      <w:pPr>
        <w:pStyle w:val="ListParagraph"/>
        <w:numPr>
          <w:ilvl w:val="0"/>
          <w:numId w:val="15"/>
        </w:numPr>
        <w:spacing w:after="200"/>
      </w:pPr>
      <w:r w:rsidRPr="004A7006">
        <w:rPr>
          <w:i/>
        </w:rPr>
        <w:t>Water</w:t>
      </w:r>
      <w:r w:rsidRPr="004A7006">
        <w:t xml:space="preserve"> is payments for the volumetric purchase of water (including treated, untreated, </w:t>
      </w:r>
      <w:r>
        <w:t xml:space="preserve">exchange, </w:t>
      </w:r>
      <w:r w:rsidRPr="004A7006">
        <w:t>agricultural, and replenishment water)</w:t>
      </w:r>
    </w:p>
    <w:p w14:paraId="362C8DA3" w14:textId="72CD3CB8" w:rsidR="00B617F1" w:rsidRDefault="00B617F1" w:rsidP="00B617F1">
      <w:r>
        <w:t>Because we were unable to procure payment data more recent than 2010, we estimated the 2015 MPR for each agency by multiplying its 2010 MPR by the mean annual percent change in published preferential rights (PR) from 2010 to 2014 for that agency:</w:t>
      </w:r>
    </w:p>
    <w:p w14:paraId="66427124" w14:textId="77777777" w:rsidR="00B617F1" w:rsidRDefault="00DF236E" w:rsidP="00B617F1">
      <m:oMathPara>
        <m:oMath>
          <m:sSub>
            <m:sSubPr>
              <m:ctrlPr>
                <w:rPr>
                  <w:rFonts w:ascii="Cambria Math" w:hAnsi="Cambria Math"/>
                  <w:i/>
                </w:rPr>
              </m:ctrlPr>
            </m:sSubPr>
            <m:e>
              <m:r>
                <w:rPr>
                  <w:rFonts w:ascii="Cambria Math" w:hAnsi="Cambria Math"/>
                </w:rPr>
                <m:t>MPR</m:t>
              </m:r>
            </m:e>
            <m:sub>
              <m:r>
                <w:rPr>
                  <w:rFonts w:ascii="Cambria Math" w:hAnsi="Cambria Math"/>
                </w:rPr>
                <m:t>j, 2015</m:t>
              </m:r>
            </m:sub>
          </m:sSub>
          <m:r>
            <w:rPr>
              <w:rFonts w:ascii="Cambria Math" w:hAnsi="Cambria Math"/>
            </w:rPr>
            <m:t>≈</m:t>
          </m:r>
          <m:sSub>
            <m:sSubPr>
              <m:ctrlPr>
                <w:rPr>
                  <w:rFonts w:ascii="Cambria Math" w:hAnsi="Cambria Math"/>
                  <w:i/>
                </w:rPr>
              </m:ctrlPr>
            </m:sSubPr>
            <m:e>
              <m:r>
                <w:rPr>
                  <w:rFonts w:ascii="Cambria Math" w:hAnsi="Cambria Math"/>
                </w:rPr>
                <m:t>MPR</m:t>
              </m:r>
            </m:e>
            <m:sub>
              <m:r>
                <w:rPr>
                  <w:rFonts w:ascii="Cambria Math" w:hAnsi="Cambria Math"/>
                </w:rPr>
                <m:t>j, 2010</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PR</m:t>
                  </m:r>
                </m:e>
                <m:sub>
                  <m:r>
                    <w:rPr>
                      <w:rFonts w:ascii="Cambria Math" w:hAnsi="Cambria Math"/>
                    </w:rPr>
                    <m:t>j, 2014</m:t>
                  </m:r>
                </m:sub>
              </m:sSub>
              <m:r>
                <w:rPr>
                  <w:rFonts w:ascii="Cambria Math" w:hAnsi="Cambria Math"/>
                </w:rPr>
                <m:t>-</m:t>
              </m:r>
              <m:sSub>
                <m:sSubPr>
                  <m:ctrlPr>
                    <w:rPr>
                      <w:rFonts w:ascii="Cambria Math" w:hAnsi="Cambria Math"/>
                      <w:i/>
                    </w:rPr>
                  </m:ctrlPr>
                </m:sSubPr>
                <m:e>
                  <m:r>
                    <w:rPr>
                      <w:rFonts w:ascii="Cambria Math" w:hAnsi="Cambria Math"/>
                    </w:rPr>
                    <m:t>PR</m:t>
                  </m:r>
                </m:e>
                <m:sub>
                  <m:r>
                    <w:rPr>
                      <w:rFonts w:ascii="Cambria Math" w:hAnsi="Cambria Math"/>
                    </w:rPr>
                    <m:t>j, 2010</m:t>
                  </m:r>
                </m:sub>
              </m:sSub>
            </m:num>
            <m:den>
              <m:sSub>
                <m:sSubPr>
                  <m:ctrlPr>
                    <w:rPr>
                      <w:rFonts w:ascii="Cambria Math" w:hAnsi="Cambria Math"/>
                      <w:i/>
                    </w:rPr>
                  </m:ctrlPr>
                </m:sSubPr>
                <m:e>
                  <m:r>
                    <w:rPr>
                      <w:rFonts w:ascii="Cambria Math" w:hAnsi="Cambria Math"/>
                    </w:rPr>
                    <m:t>P</m:t>
                  </m:r>
                  <m:r>
                    <w:rPr>
                      <w:rFonts w:ascii="Cambria Math" w:hAnsi="Cambria Math"/>
                    </w:rPr>
                    <m:t>R</m:t>
                  </m:r>
                </m:e>
                <m:sub>
                  <m:r>
                    <w:rPr>
                      <w:rFonts w:ascii="Cambria Math" w:hAnsi="Cambria Math"/>
                    </w:rPr>
                    <m:t>j, 2010</m:t>
                  </m:r>
                </m:sub>
              </m:sSub>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4</m:t>
              </m:r>
            </m:den>
          </m:f>
        </m:oMath>
      </m:oMathPara>
    </w:p>
    <w:p w14:paraId="33CA9DB7" w14:textId="46554101" w:rsidR="006C2AEA" w:rsidRDefault="00B617F1" w:rsidP="00B617F1">
      <w:r w:rsidRPr="00040442">
        <w:t xml:space="preserve">Since the </w:t>
      </w:r>
      <w:r w:rsidR="00040442">
        <w:t xml:space="preserve">annual </w:t>
      </w:r>
      <w:r w:rsidRPr="00040442">
        <w:t xml:space="preserve">rate of change of </w:t>
      </w:r>
      <w:r w:rsidR="00040442">
        <w:t xml:space="preserve">each agency’s </w:t>
      </w:r>
      <w:r w:rsidRPr="00040442">
        <w:t>rights is quite stable (</w:t>
      </w:r>
      <w:r w:rsidRPr="00040442">
        <w:fldChar w:fldCharType="begin"/>
      </w:r>
      <w:r w:rsidRPr="00040442">
        <w:instrText xml:space="preserve"> REF _Ref411878664 \h </w:instrText>
      </w:r>
      <w:r w:rsidR="006C2AEA" w:rsidRPr="00040442">
        <w:instrText xml:space="preserve"> \* MERGEFORMAT </w:instrText>
      </w:r>
      <w:r w:rsidRPr="00040442">
        <w:fldChar w:fldCharType="separate"/>
      </w:r>
      <w:r w:rsidRPr="00040442">
        <w:t>Figure 2</w:t>
      </w:r>
      <w:r w:rsidRPr="00040442">
        <w:noBreakHyphen/>
        <w:t>3</w:t>
      </w:r>
      <w:r w:rsidRPr="00040442">
        <w:fldChar w:fldCharType="end"/>
      </w:r>
      <w:r w:rsidRPr="00040442">
        <w:t>), we assumed</w:t>
      </w:r>
      <w:r>
        <w:t xml:space="preserve"> </w:t>
      </w:r>
      <w:r w:rsidR="00040442">
        <w:t xml:space="preserve">that </w:t>
      </w:r>
      <w:r>
        <w:t>the resulting estimates are very close to the actual values.</w:t>
      </w:r>
    </w:p>
    <w:p w14:paraId="504B1DA0" w14:textId="25482C7F" w:rsidR="00B617F1" w:rsidRDefault="00B617F1" w:rsidP="00B617F1">
      <w:r>
        <w:lastRenderedPageBreak/>
        <w:t xml:space="preserve">After calculating the rights percentages for each agency, we compared the amount of water allocated under both PR and MPR to the quantity each agency would receive under the 2015 </w:t>
      </w:r>
      <w:r w:rsidR="006E20CC">
        <w:t>WSAP</w:t>
      </w:r>
      <w:r>
        <w:t xml:space="preserve"> during both a No Shortage and a Shortage Level 2 scenario.</w:t>
      </w:r>
    </w:p>
    <w:p w14:paraId="3D2E5298" w14:textId="45B7A032" w:rsidR="002665E5" w:rsidRDefault="00040442" w:rsidP="00B617F1">
      <w:r>
        <w:rPr>
          <w:highlight w:val="yellow"/>
        </w:rPr>
        <w:fldChar w:fldCharType="begin"/>
      </w:r>
      <w:r>
        <w:instrText xml:space="preserve"> REF _Ref416279950 \h </w:instrText>
      </w:r>
      <w:r>
        <w:rPr>
          <w:highlight w:val="yellow"/>
        </w:rPr>
      </w:r>
      <w:r>
        <w:rPr>
          <w:highlight w:val="yellow"/>
        </w:rPr>
        <w:fldChar w:fldCharType="separate"/>
      </w:r>
      <w:r>
        <w:t xml:space="preserve">Table </w:t>
      </w:r>
      <w:r>
        <w:rPr>
          <w:noProof/>
        </w:rPr>
        <w:t>10</w:t>
      </w:r>
      <w:r>
        <w:noBreakHyphen/>
      </w:r>
      <w:r>
        <w:rPr>
          <w:noProof/>
        </w:rPr>
        <w:t>1</w:t>
      </w:r>
      <w:r>
        <w:rPr>
          <w:highlight w:val="yellow"/>
        </w:rPr>
        <w:fldChar w:fldCharType="end"/>
      </w:r>
      <w:r>
        <w:t xml:space="preserve"> </w:t>
      </w:r>
      <w:r w:rsidR="00763114">
        <w:t xml:space="preserve">shows how our Modified Preferential Rights compare to the published preferential rights. As expected, San Diego is the major benefactor of including water revenues in the calculation; their share increases from 18.5% to 24.8% of total supply, in line with their actual share of water purchases in the 2000s. </w:t>
      </w:r>
      <w:proofErr w:type="spellStart"/>
      <w:r w:rsidR="00763114">
        <w:t>Calleguas</w:t>
      </w:r>
      <w:proofErr w:type="spellEnd"/>
      <w:r w:rsidR="00763114">
        <w:t xml:space="preserve">, Three Valleys, Eastern, West Basin, and MWDOC also receive larger shares. Los Angeles loses the most shares, from 20.0% down to 13.2%. Central Basin and Upper San Gabriel also lose shares. The far right column of </w:t>
      </w:r>
      <w:r>
        <w:rPr>
          <w:highlight w:val="yellow"/>
        </w:rPr>
        <w:fldChar w:fldCharType="begin"/>
      </w:r>
      <w:r>
        <w:instrText xml:space="preserve"> REF _Ref416279950 \h </w:instrText>
      </w:r>
      <w:r>
        <w:rPr>
          <w:highlight w:val="yellow"/>
        </w:rPr>
      </w:r>
      <w:r>
        <w:rPr>
          <w:highlight w:val="yellow"/>
        </w:rPr>
        <w:fldChar w:fldCharType="separate"/>
      </w:r>
      <w:r>
        <w:t xml:space="preserve">Table </w:t>
      </w:r>
      <w:r>
        <w:rPr>
          <w:noProof/>
        </w:rPr>
        <w:t>10</w:t>
      </w:r>
      <w:r>
        <w:noBreakHyphen/>
      </w:r>
      <w:r>
        <w:rPr>
          <w:noProof/>
        </w:rPr>
        <w:t>1</w:t>
      </w:r>
      <w:r>
        <w:rPr>
          <w:highlight w:val="yellow"/>
        </w:rPr>
        <w:fldChar w:fldCharType="end"/>
      </w:r>
      <w:r>
        <w:t xml:space="preserve"> </w:t>
      </w:r>
      <w:r w:rsidR="00763114">
        <w:t>shows that even though the change to some agencies’ rights is small in absolute terms, it can represent a gain or loss of a large portion of their existing rights. This is particularly</w:t>
      </w:r>
      <w:r w:rsidR="002665E5">
        <w:t xml:space="preserve"> true of the smallest agencies.</w:t>
      </w:r>
    </w:p>
    <w:p w14:paraId="18DE5BB7" w14:textId="161CB7B5" w:rsidR="002665E5" w:rsidRDefault="002665E5" w:rsidP="00B617F1">
      <w:r>
        <w:fldChar w:fldCharType="begin"/>
      </w:r>
      <w:r>
        <w:instrText xml:space="preserve"> REF _Ref416279950 \h </w:instrText>
      </w:r>
      <w:r>
        <w:fldChar w:fldCharType="separate"/>
      </w:r>
      <w:r>
        <w:t xml:space="preserve">Table </w:t>
      </w:r>
      <w:r>
        <w:rPr>
          <w:noProof/>
        </w:rPr>
        <w:t>10</w:t>
      </w:r>
      <w:r>
        <w:noBreakHyphen/>
      </w:r>
      <w:r>
        <w:rPr>
          <w:noProof/>
        </w:rPr>
        <w:t>1</w:t>
      </w:r>
      <w:r>
        <w:fldChar w:fldCharType="end"/>
      </w:r>
      <w:r>
        <w:t xml:space="preserve"> shows how both existing and modified preferential rights translate into allocations of water for each agency. To understand the practical impacts of this allocation system, we assume that the total supply of water to be allocated is the same as the total amount purchased by all agencies during the 2013-14 water year (2,138,075 AF; this includes treated, untreated, and exchange water), which is </w:t>
      </w:r>
      <w:proofErr w:type="gramStart"/>
      <w:r>
        <w:t>our  best</w:t>
      </w:r>
      <w:proofErr w:type="gramEnd"/>
      <w:r>
        <w:t xml:space="preserve"> estimate of each agency’s demand for imported water during 2015-16.</w:t>
      </w:r>
      <w:r>
        <w:rPr>
          <w:rStyle w:val="EndnoteReference"/>
        </w:rPr>
        <w:endnoteReference w:id="28"/>
      </w:r>
      <w:r>
        <w:t xml:space="preserve"> We then calculate the difference between the preferential rights allocation and the quantity of water actually purchased from Met during 2013-14. The red and green bars show the extent to which each agency would have a surplus or deficit allocation.</w:t>
      </w:r>
    </w:p>
    <w:p w14:paraId="30896D5D" w14:textId="77777777" w:rsidR="002665E5" w:rsidRDefault="002665E5">
      <w:pPr>
        <w:spacing w:line="259" w:lineRule="auto"/>
      </w:pPr>
      <w:r>
        <w:br w:type="page"/>
      </w:r>
    </w:p>
    <w:p w14:paraId="719B2E12" w14:textId="77777777" w:rsidR="002665E5" w:rsidRDefault="002665E5" w:rsidP="002A7CFC">
      <w:pPr>
        <w:pStyle w:val="Caption"/>
        <w:sectPr w:rsidR="002665E5" w:rsidSect="00763114">
          <w:footerReference w:type="default" r:id="rId42"/>
          <w:endnotePr>
            <w:numFmt w:val="decimal"/>
          </w:endnotePr>
          <w:pgSz w:w="12240" w:h="15840"/>
          <w:pgMar w:top="1800" w:right="1800" w:bottom="1800" w:left="2160" w:header="720" w:footer="720" w:gutter="0"/>
          <w:cols w:space="720"/>
          <w:docGrid w:linePitch="326"/>
        </w:sectPr>
      </w:pPr>
      <w:bookmarkStart w:id="65" w:name="_Ref416279950"/>
    </w:p>
    <w:p w14:paraId="3523733A" w14:textId="1F67F127" w:rsidR="00763114" w:rsidRDefault="002A7CFC" w:rsidP="002665E5">
      <w:pPr>
        <w:pStyle w:val="Caption"/>
        <w:ind w:left="0" w:right="0"/>
      </w:pPr>
      <w:r>
        <w:lastRenderedPageBreak/>
        <w:t xml:space="preserve">Table </w:t>
      </w:r>
      <w:r w:rsidR="00DF236E">
        <w:fldChar w:fldCharType="begin"/>
      </w:r>
      <w:r w:rsidR="00DF236E">
        <w:instrText xml:space="preserve"> STYLEREF 1 \s </w:instrText>
      </w:r>
      <w:r w:rsidR="00DF236E">
        <w:fldChar w:fldCharType="separate"/>
      </w:r>
      <w:r w:rsidR="009C6DFD">
        <w:rPr>
          <w:noProof/>
        </w:rPr>
        <w:t>10</w:t>
      </w:r>
      <w:r w:rsidR="00DF236E">
        <w:rPr>
          <w:noProof/>
        </w:rPr>
        <w:fldChar w:fldCharType="end"/>
      </w:r>
      <w:r w:rsidR="009C6DFD">
        <w:noBreakHyphen/>
      </w:r>
      <w:r w:rsidR="00DF236E">
        <w:fldChar w:fldCharType="begin"/>
      </w:r>
      <w:r w:rsidR="00DF236E">
        <w:instrText xml:space="preserve"> SEQ Table \* ARABIC \s 1 </w:instrText>
      </w:r>
      <w:r w:rsidR="00DF236E">
        <w:fldChar w:fldCharType="separate"/>
      </w:r>
      <w:r w:rsidR="009C6DFD">
        <w:rPr>
          <w:noProof/>
        </w:rPr>
        <w:t>1</w:t>
      </w:r>
      <w:r w:rsidR="00DF236E">
        <w:rPr>
          <w:noProof/>
        </w:rPr>
        <w:fldChar w:fldCharType="end"/>
      </w:r>
      <w:bookmarkEnd w:id="65"/>
      <w:r w:rsidR="009C6DFD">
        <w:t xml:space="preserve">. Estimated existing (PR) and modified (MPR) preferential rights for the year 2015, expressed as shares of total annual Met supply. Under MPR, San Diego gains shares at the expense of Los Angeles. Existing rights are based on the last published year available (2013). Modified rights are based on historical payment data from 1930 through 2010. </w:t>
      </w:r>
      <w:proofErr w:type="gramStart"/>
      <w:r w:rsidR="009C6DFD">
        <w:t>Data from MWD.</w:t>
      </w:r>
      <w:proofErr w:type="gramEnd"/>
    </w:p>
    <w:p w14:paraId="407C4BB0" w14:textId="1B139BBB" w:rsidR="00612236" w:rsidRDefault="00763114" w:rsidP="00763114">
      <w:r w:rsidRPr="00CD18D9">
        <w:rPr>
          <w:noProof/>
        </w:rPr>
        <w:drawing>
          <wp:inline distT="0" distB="0" distL="0" distR="0" wp14:anchorId="47CAE870" wp14:editId="6BC96C4F">
            <wp:extent cx="5958188" cy="456106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58188" cy="4561060"/>
                    </a:xfrm>
                    <a:prstGeom prst="rect">
                      <a:avLst/>
                    </a:prstGeom>
                    <a:noFill/>
                    <a:ln>
                      <a:noFill/>
                    </a:ln>
                  </pic:spPr>
                </pic:pic>
              </a:graphicData>
            </a:graphic>
          </wp:inline>
        </w:drawing>
      </w:r>
    </w:p>
    <w:p w14:paraId="74B638D0" w14:textId="77777777" w:rsidR="002665E5" w:rsidRDefault="002665E5" w:rsidP="00763114">
      <w:pPr>
        <w:sectPr w:rsidR="002665E5" w:rsidSect="002665E5">
          <w:endnotePr>
            <w:numFmt w:val="decimal"/>
          </w:endnotePr>
          <w:pgSz w:w="15840" w:h="12240" w:orient="landscape"/>
          <w:pgMar w:top="2160" w:right="1800" w:bottom="1800" w:left="1800" w:header="720" w:footer="720" w:gutter="0"/>
          <w:cols w:space="720"/>
          <w:docGrid w:linePitch="326"/>
        </w:sectPr>
      </w:pPr>
    </w:p>
    <w:p w14:paraId="09CB71E8" w14:textId="371C87E5" w:rsidR="00763114" w:rsidRDefault="009C6DFD" w:rsidP="002665E5">
      <w:pPr>
        <w:pStyle w:val="Caption"/>
        <w:ind w:left="0" w:right="0"/>
      </w:pPr>
      <w:r>
        <w:lastRenderedPageBreak/>
        <w:t xml:space="preserve">Table </w:t>
      </w:r>
      <w:r w:rsidR="00DF236E">
        <w:fldChar w:fldCharType="begin"/>
      </w:r>
      <w:r w:rsidR="00DF236E">
        <w:instrText xml:space="preserve"> STYLEREF 1 \s </w:instrText>
      </w:r>
      <w:r w:rsidR="00DF236E">
        <w:fldChar w:fldCharType="separate"/>
      </w:r>
      <w:r>
        <w:rPr>
          <w:noProof/>
        </w:rPr>
        <w:t>10</w:t>
      </w:r>
      <w:r w:rsidR="00DF236E">
        <w:rPr>
          <w:noProof/>
        </w:rPr>
        <w:fldChar w:fldCharType="end"/>
      </w:r>
      <w:r>
        <w:noBreakHyphen/>
      </w:r>
      <w:r w:rsidR="00DF236E">
        <w:fldChar w:fldCharType="begin"/>
      </w:r>
      <w:r w:rsidR="00DF236E">
        <w:instrText xml:space="preserve"> SEQ Table \* ARABIC \s 1 </w:instrText>
      </w:r>
      <w:r w:rsidR="00DF236E">
        <w:fldChar w:fldCharType="separate"/>
      </w:r>
      <w:r>
        <w:rPr>
          <w:noProof/>
        </w:rPr>
        <w:t>2</w:t>
      </w:r>
      <w:r w:rsidR="00DF236E">
        <w:rPr>
          <w:noProof/>
        </w:rPr>
        <w:fldChar w:fldCharType="end"/>
      </w:r>
      <w:r>
        <w:t xml:space="preserve">. Hypothetical drought allocations to member agencies for the year 2015, in acre-feet, based on both existing and modified preferential rights. Red and green bars show the difference between the allocation and the actual quantity of water purchased from Met in the most recent year (2013-14). Agencies with green bars hold a surplus of water that could be sold in a market to those agencies with red bars. Agencies are ordered by greatest surplus to greatest deficit. </w:t>
      </w:r>
      <w:proofErr w:type="gramStart"/>
      <w:r>
        <w:t>Data from MWD.</w:t>
      </w:r>
      <w:proofErr w:type="gramEnd"/>
    </w:p>
    <w:p w14:paraId="4826673C" w14:textId="635EE7C9" w:rsidR="00763114" w:rsidRDefault="00763114" w:rsidP="00763114">
      <w:r w:rsidRPr="00AD476F">
        <w:rPr>
          <w:noProof/>
        </w:rPr>
        <w:drawing>
          <wp:inline distT="0" distB="0" distL="0" distR="0" wp14:anchorId="4AEEE8F4" wp14:editId="759A4F6C">
            <wp:extent cx="6488289" cy="433387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88289" cy="4333875"/>
                    </a:xfrm>
                    <a:prstGeom prst="rect">
                      <a:avLst/>
                    </a:prstGeom>
                    <a:noFill/>
                    <a:ln>
                      <a:noFill/>
                    </a:ln>
                  </pic:spPr>
                </pic:pic>
              </a:graphicData>
            </a:graphic>
          </wp:inline>
        </w:drawing>
      </w:r>
    </w:p>
    <w:p w14:paraId="59DD7719" w14:textId="77777777" w:rsidR="002665E5" w:rsidRDefault="002665E5" w:rsidP="00177AA8">
      <w:pPr>
        <w:sectPr w:rsidR="002665E5" w:rsidSect="002665E5">
          <w:endnotePr>
            <w:numFmt w:val="decimal"/>
          </w:endnotePr>
          <w:pgSz w:w="15840" w:h="12240" w:orient="landscape"/>
          <w:pgMar w:top="2160" w:right="1800" w:bottom="1800" w:left="1800" w:header="720" w:footer="720" w:gutter="0"/>
          <w:cols w:space="720"/>
          <w:docGrid w:linePitch="326"/>
        </w:sectPr>
      </w:pPr>
    </w:p>
    <w:p w14:paraId="77F3BC37" w14:textId="61998703" w:rsidR="00177AA8" w:rsidRDefault="00177AA8" w:rsidP="00177AA8">
      <w:r>
        <w:lastRenderedPageBreak/>
        <w:t>Preferential rights as an alternative to the WSAP has a legal foundation, but that legal foundation was set decades ago and does not account for the numerous changes in the number and composition of Met member agencies. Preferential Rights was not structured to provide flexibility for new entrants into the Met system over time, nor could it predict the demands that would need to be met by a southern California population nearing 19 million residents. Preferential Rights does provide a guarantee to purchase a quantity of water which could then allow for the benefits of conservation to be incorporated, however due to the manner in which they are calculated, invoking Preferential Rights does little to address true agency demands, rather it simply rewards the founding Met member agencies based on their contribution to Met infrastructure, their longevity as a member, and the relative wealth of the community. Our version of a ‘Modified Preferential Rights’ allocation system attempts to address some of these inequities by incorporating an agency’s contribution to Met capital through water purchases. In this way, it better balances the discrepancy in allocations between founding member agencies and subsequent members, but it still retains some of the inequities based on differences in property taxes.</w:t>
      </w:r>
    </w:p>
    <w:p w14:paraId="5C88799F" w14:textId="77777777" w:rsidR="00177AA8" w:rsidRDefault="00177AA8" w:rsidP="00177AA8">
      <w:r>
        <w:t>The fact that revenues from the sale of water are explicitly excluded from the preferential rights calculation has been criticized by SDCWA. San Diego is Met’s largest customer by volume of water purchased, thanks to the large volume of untreated agricultural water that it purchases. San Diego argues that payments for water should be included because Met nowadays receives most of its operating expenses and capital costs from the sale of water, not property taxes</w:t>
      </w:r>
      <w:r w:rsidRPr="003E1DA2">
        <w:t>.</w:t>
      </w:r>
      <w:r w:rsidRPr="008125D1">
        <w:rPr>
          <w:rStyle w:val="EndnoteReference"/>
        </w:rPr>
        <w:endnoteReference w:id="29"/>
      </w:r>
    </w:p>
    <w:p w14:paraId="7AAEBB53" w14:textId="77777777" w:rsidR="00177AA8" w:rsidRDefault="00177AA8" w:rsidP="00177AA8">
      <w:r w:rsidRPr="003E1DA2">
        <w:t>Th</w:t>
      </w:r>
      <w:r>
        <w:t>e exclusion of water revenues</w:t>
      </w:r>
      <w:r w:rsidRPr="003E1DA2">
        <w:t xml:space="preserve"> makes preferential rights essential</w:t>
      </w:r>
      <w:r>
        <w:t>ly blind to an agency’s current water use and</w:t>
      </w:r>
      <w:r w:rsidRPr="003E1DA2">
        <w:t xml:space="preserve"> level of dependence on </w:t>
      </w:r>
      <w:r>
        <w:t>Met</w:t>
      </w:r>
      <w:r w:rsidRPr="003E1DA2">
        <w:t xml:space="preserve">. For example, </w:t>
      </w:r>
      <w:r>
        <w:t>San Diego accounted for 24% of Met’s total water revenues in 2005,</w:t>
      </w:r>
      <w:r w:rsidRPr="008125D1">
        <w:rPr>
          <w:rStyle w:val="EndnoteReference"/>
        </w:rPr>
        <w:endnoteReference w:id="30"/>
      </w:r>
      <w:r>
        <w:t xml:space="preserve"> and has purchased 26</w:t>
      </w:r>
      <w:r w:rsidRPr="003E1DA2">
        <w:t xml:space="preserve">% of </w:t>
      </w:r>
      <w:r>
        <w:t>Met</w:t>
      </w:r>
      <w:r w:rsidRPr="003E1DA2">
        <w:t>’s water</w:t>
      </w:r>
      <w:r>
        <w:t xml:space="preserve"> over SDCWA’s lifetime</w:t>
      </w:r>
      <w:r w:rsidRPr="003E1DA2">
        <w:t xml:space="preserve">, </w:t>
      </w:r>
      <w:r>
        <w:t>yet they have</w:t>
      </w:r>
      <w:r w:rsidRPr="003E1DA2">
        <w:t xml:space="preserve"> preferential rights to on</w:t>
      </w:r>
      <w:r>
        <w:t>ly 18</w:t>
      </w:r>
      <w:r w:rsidRPr="003E1DA2">
        <w:t xml:space="preserve">% of </w:t>
      </w:r>
      <w:r>
        <w:t>Met</w:t>
      </w:r>
      <w:r w:rsidRPr="003E1DA2">
        <w:t xml:space="preserve"> supply.</w:t>
      </w:r>
      <w:r w:rsidRPr="008125D1">
        <w:rPr>
          <w:rStyle w:val="EndnoteReference"/>
        </w:rPr>
        <w:endnoteReference w:id="31"/>
      </w:r>
      <w:r w:rsidRPr="003E1DA2">
        <w:t xml:space="preserve"> </w:t>
      </w:r>
      <w:r>
        <w:t>SDCWA has argued that if preferential rights were ever invoked and San Diego were cut back to this amount, the agency would face a severe shortage, particularly because the region has little local supply and is thus dependent on Met for ~80% of its demand. Citing this concern, SDCWA sued Met in 1991 to have the formula for preferential rights changed;</w:t>
      </w:r>
      <w:r w:rsidRPr="008125D1">
        <w:rPr>
          <w:rStyle w:val="EndnoteReference"/>
        </w:rPr>
        <w:endnoteReference w:id="32"/>
      </w:r>
      <w:r>
        <w:t xml:space="preserve"> they lost the suit in 2004 but filed additional lawsuits in 2011 which are still pending.</w:t>
      </w:r>
      <w:r w:rsidRPr="008125D1">
        <w:rPr>
          <w:rStyle w:val="EndnoteReference"/>
        </w:rPr>
        <w:endnoteReference w:id="33"/>
      </w:r>
      <w:r>
        <w:t xml:space="preserve"> The fear of being cut off during a drought also prompted SDCWA to pursue a historic water transfer agreement with the Imperial Irrigation District. The additional water supply from this agreement </w:t>
      </w:r>
      <w:r>
        <w:lastRenderedPageBreak/>
        <w:t>allowed San Diego to reduce its water purchases down to ~18% of Met’s supply in 2013—14, in line with its preferential rights.</w:t>
      </w:r>
    </w:p>
    <w:p w14:paraId="1C5554F1" w14:textId="77777777" w:rsidR="00177AA8" w:rsidRDefault="00177AA8" w:rsidP="00177AA8">
      <w:r>
        <w:t>We suspect that few water managers, even within LADWP, would argue that preferential rights as they now exist should be used to allocate water in a drought. Yet because preferential rights have a basis in statutory law, they linger in the background of many negotiations – a threatening ‘nuclear option’ that could be invoked as a last resort. During a drought, any member agency could legally invoke its preferential right by demanding to purchase its assigned share of water from Met. Preferential rights therefore act as a backstop measure that is likely to materialize only in a severe shortage of the kind we have not yet seen in Southern California.</w:t>
      </w:r>
    </w:p>
    <w:p w14:paraId="10A869B6" w14:textId="77777777" w:rsidR="00177AA8" w:rsidRDefault="00177AA8" w:rsidP="00177AA8">
      <w:r>
        <w:t>Because of the political infeasibility of making large cuts to the supply of agencies like SDCWA, preferential rights have never been invoked (and may in fact be illegal under California Water Code section 350, which sets limits on how agencies may allocate water during official water shortages).</w:t>
      </w:r>
      <w:r w:rsidRPr="008125D1">
        <w:rPr>
          <w:rStyle w:val="EndnoteReference"/>
        </w:rPr>
        <w:endnoteReference w:id="34"/>
      </w:r>
      <w:r>
        <w:t xml:space="preserve"> Instead, Met has drafted alternate allocation plans based on historical usage, which provide a less drastic level of cutbacks for all agencies.</w:t>
      </w:r>
    </w:p>
    <w:p w14:paraId="5FF14CB5" w14:textId="48B6D475" w:rsidR="00177AA8" w:rsidRDefault="00177AA8" w:rsidP="00612236">
      <w:pPr>
        <w:sectPr w:rsidR="00177AA8" w:rsidSect="002665E5">
          <w:endnotePr>
            <w:numFmt w:val="decimal"/>
          </w:endnotePr>
          <w:pgSz w:w="12240" w:h="15840"/>
          <w:pgMar w:top="1800" w:right="1800" w:bottom="1800" w:left="2160" w:header="720" w:footer="720" w:gutter="0"/>
          <w:cols w:space="720"/>
          <w:docGrid w:linePitch="326"/>
        </w:sectPr>
      </w:pPr>
      <w:r>
        <w:t>In this project, we have taken preferential rights as the starting point for one of the three rights allocations we will consider. In doing so, we suggest that historical investment in infrastructure is one possible way to allocate rights, but we also recognize that there are serious equity concerns with this approach, such as those raised by San Diego</w:t>
      </w:r>
      <w:r w:rsidR="009C6DFD">
        <w:t>.</w:t>
      </w:r>
    </w:p>
    <w:p w14:paraId="6CBC5385" w14:textId="77777777" w:rsidR="00B617F1" w:rsidRDefault="00B617F1" w:rsidP="00453842">
      <w:pPr>
        <w:pStyle w:val="Heading2"/>
      </w:pPr>
      <w:bookmarkStart w:id="66" w:name="_Toc416611315"/>
      <w:r>
        <w:lastRenderedPageBreak/>
        <w:t>Gallons Per Capita Per Day (GPCD) Benchmark</w:t>
      </w:r>
      <w:bookmarkEnd w:id="66"/>
    </w:p>
    <w:p w14:paraId="0FDD11B3" w14:textId="5268422A" w:rsidR="00B617F1" w:rsidRDefault="00B617F1" w:rsidP="00B617F1">
      <w:r>
        <w:t xml:space="preserve">GPCD is a metric that is useful to compare water </w:t>
      </w:r>
      <w:r w:rsidR="001E3F44">
        <w:t>use</w:t>
      </w:r>
      <w:r>
        <w:t xml:space="preserve"> between groups. GPCD has been suggested by some as a basis for uniform allocations, which has the appeal of holding all users to the same benchmark. We create a simplified version of a </w:t>
      </w:r>
      <w:proofErr w:type="spellStart"/>
      <w:r>
        <w:t>gpcd</w:t>
      </w:r>
      <w:proofErr w:type="spellEnd"/>
      <w:r>
        <w:t xml:space="preserve">-based allocation by applying a single </w:t>
      </w:r>
      <w:proofErr w:type="spellStart"/>
      <w:r>
        <w:t>gpcd</w:t>
      </w:r>
      <w:proofErr w:type="spellEnd"/>
      <w:r>
        <w:t xml:space="preserve"> benchmark across all agencies. Under this approach, the </w:t>
      </w:r>
      <w:proofErr w:type="spellStart"/>
      <w:r>
        <w:t>gpcd</w:t>
      </w:r>
      <w:proofErr w:type="spellEnd"/>
      <w:r>
        <w:t xml:space="preserve"> benchmark sets the amount</w:t>
      </w:r>
      <w:r w:rsidRPr="004501A8">
        <w:t xml:space="preserve"> of water each member agency has an in</w:t>
      </w:r>
      <w:r>
        <w:t xml:space="preserve">itial </w:t>
      </w:r>
      <w:r w:rsidR="0027242B">
        <w:t xml:space="preserve">use </w:t>
      </w:r>
      <w:r>
        <w:t>right to purchase from Met</w:t>
      </w:r>
      <w:r w:rsidRPr="004501A8">
        <w:t>.</w:t>
      </w:r>
    </w:p>
    <w:p w14:paraId="2EFCC796" w14:textId="3CC1EC7A" w:rsidR="00B617F1" w:rsidRDefault="00B617F1" w:rsidP="00B617F1">
      <w:r>
        <w:t xml:space="preserve">The total amount of water that is allocated to the entire Met system is determined by a </w:t>
      </w:r>
      <w:proofErr w:type="spellStart"/>
      <w:r>
        <w:t>gpcd</w:t>
      </w:r>
      <w:proofErr w:type="spellEnd"/>
      <w:r>
        <w:t xml:space="preserve"> benchmark that is applied uniformly to all agencies. For this analysis, the </w:t>
      </w:r>
      <w:proofErr w:type="spellStart"/>
      <w:r>
        <w:t>gpcd</w:t>
      </w:r>
      <w:proofErr w:type="spellEnd"/>
      <w:r>
        <w:t xml:space="preserve"> target was set at 170.58 when Met is not in shortage, and at 163.45 when Met is in a level two shortage. Analyzing the distribution of water at this level of supply allows us to meaningfully compare the allocations of water across all our allocation methods.</w:t>
      </w:r>
    </w:p>
    <w:p w14:paraId="32818AE0" w14:textId="77777777" w:rsidR="00B617F1" w:rsidRDefault="00B617F1" w:rsidP="00B617F1">
      <w:r>
        <w:t xml:space="preserve">Data on 2015 population estimates, 2015 local supply quantities, and water purchased from Met in 2015 were gathered from the 2015 WSAP. Population data for each agency were used to estimate the total population of the Met service area. Local supply data for each agency were used to estimate the total local supply of the Met service area. The amount of water each agency requests to purchase from Met in 2015 was aggregated to determine the total Met demand of the service area. These datasets were used to determine the </w:t>
      </w:r>
      <w:proofErr w:type="spellStart"/>
      <w:r>
        <w:t>gpcd</w:t>
      </w:r>
      <w:proofErr w:type="spellEnd"/>
      <w:r>
        <w:t xml:space="preserve"> benchmark for non-shortage and level two shortage years. </w:t>
      </w:r>
    </w:p>
    <w:p w14:paraId="2EB994DC" w14:textId="77777777" w:rsidR="00B617F1" w:rsidRPr="006E11F1" w:rsidRDefault="00B617F1" w:rsidP="00B617F1">
      <w:pPr>
        <w:pStyle w:val="Heading4"/>
      </w:pPr>
      <w:r w:rsidRPr="006E11F1">
        <w:t xml:space="preserve">Setting the </w:t>
      </w:r>
      <w:proofErr w:type="spellStart"/>
      <w:r>
        <w:t>gpcd</w:t>
      </w:r>
      <w:proofErr w:type="spellEnd"/>
    </w:p>
    <w:p w14:paraId="20907B77" w14:textId="37CD5211" w:rsidR="00B617F1" w:rsidRDefault="00B617F1" w:rsidP="00B617F1">
      <w:r>
        <w:t xml:space="preserve">The non-shortage </w:t>
      </w:r>
      <w:proofErr w:type="spellStart"/>
      <w:r>
        <w:t>gpcd</w:t>
      </w:r>
      <w:proofErr w:type="spellEnd"/>
      <w:r>
        <w:t xml:space="preserve"> was determined by adding the 2015 total local supply, and the 2015 total Met demand. </w:t>
      </w:r>
      <w:proofErr w:type="gramStart"/>
      <w:r>
        <w:t>This total was then divided by the total population of the Met service area</w:t>
      </w:r>
      <w:proofErr w:type="gramEnd"/>
      <w:r>
        <w:t xml:space="preserve">. Lastly, the result was converted from </w:t>
      </w:r>
      <w:proofErr w:type="gramStart"/>
      <w:r>
        <w:t>acre fe</w:t>
      </w:r>
      <w:r w:rsidR="009C6DFD">
        <w:t>et</w:t>
      </w:r>
      <w:proofErr w:type="gramEnd"/>
      <w:r w:rsidR="009C6DFD">
        <w:t xml:space="preserve"> per year to gallons per day:</w:t>
      </w:r>
    </w:p>
    <w:p w14:paraId="61DD38E7" w14:textId="77777777" w:rsidR="00B617F1" w:rsidRPr="00653D19" w:rsidRDefault="00B617F1" w:rsidP="00B617F1">
      <m:oMathPara>
        <m:oMath>
          <m:r>
            <w:rPr>
              <w:rFonts w:ascii="Cambria Math" w:hAnsi="Cambria Math"/>
            </w:rPr>
            <m:t xml:space="preserve">Non-shortage year GPCD= </m:t>
          </m:r>
          <m:f>
            <m:fPr>
              <m:ctrlPr>
                <w:rPr>
                  <w:rFonts w:ascii="Cambria Math" w:hAnsi="Cambria Math"/>
                  <w:i/>
                </w:rPr>
              </m:ctrlPr>
            </m:fPr>
            <m:num>
              <m:r>
                <w:rPr>
                  <w:rFonts w:ascii="Cambria Math" w:hAnsi="Cambria Math"/>
                </w:rPr>
                <m:t xml:space="preserve">Met Demand </m:t>
              </m:r>
              <m:d>
                <m:dPr>
                  <m:ctrlPr>
                    <w:rPr>
                      <w:rFonts w:ascii="Cambria Math" w:hAnsi="Cambria Math"/>
                      <w:i/>
                    </w:rPr>
                  </m:ctrlPr>
                </m:dPr>
                <m:e>
                  <m:r>
                    <w:rPr>
                      <w:rFonts w:ascii="Cambria Math" w:hAnsi="Cambria Math"/>
                    </w:rPr>
                    <m:t>AF</m:t>
                  </m:r>
                </m:e>
              </m:d>
              <m:r>
                <w:rPr>
                  <w:rFonts w:ascii="Cambria Math" w:hAnsi="Cambria Math"/>
                </w:rPr>
                <m:t xml:space="preserve">+Local Supply </m:t>
              </m:r>
              <m:d>
                <m:dPr>
                  <m:ctrlPr>
                    <w:rPr>
                      <w:rFonts w:ascii="Cambria Math" w:hAnsi="Cambria Math"/>
                      <w:i/>
                    </w:rPr>
                  </m:ctrlPr>
                </m:dPr>
                <m:e>
                  <m:r>
                    <w:rPr>
                      <w:rFonts w:ascii="Cambria Math" w:hAnsi="Cambria Math"/>
                    </w:rPr>
                    <m:t>AF</m:t>
                  </m:r>
                </m:e>
              </m:d>
            </m:num>
            <m:den>
              <m:r>
                <w:rPr>
                  <w:rFonts w:ascii="Cambria Math" w:hAnsi="Cambria Math"/>
                </w:rPr>
                <m:t xml:space="preserve">Total Population </m:t>
              </m:r>
            </m:den>
          </m:f>
          <m:r>
            <w:rPr>
              <w:rFonts w:ascii="Cambria Math" w:hAnsi="Cambria Math"/>
            </w:rPr>
            <m:t>×</m:t>
          </m:r>
          <m:f>
            <m:fPr>
              <m:ctrlPr>
                <w:rPr>
                  <w:rFonts w:ascii="Cambria Math" w:hAnsi="Cambria Math"/>
                  <w:i/>
                </w:rPr>
              </m:ctrlPr>
            </m:fPr>
            <m:num>
              <m:r>
                <w:rPr>
                  <w:rFonts w:ascii="Cambria Math" w:hAnsi="Cambria Math"/>
                </w:rPr>
                <m:t>325851 gallons/acft</m:t>
              </m:r>
            </m:num>
            <m:den>
              <m:r>
                <w:rPr>
                  <w:rFonts w:ascii="Cambria Math" w:hAnsi="Cambria Math"/>
                </w:rPr>
                <m:t>365 days</m:t>
              </m:r>
            </m:den>
          </m:f>
        </m:oMath>
      </m:oMathPara>
    </w:p>
    <w:p w14:paraId="7EDCEA5A" w14:textId="77777777" w:rsidR="00B617F1" w:rsidRPr="00327127" w:rsidRDefault="00B617F1" w:rsidP="00B617F1">
      <m:oMathPara>
        <m:oMath>
          <m:r>
            <w:rPr>
              <w:rFonts w:ascii="Cambria Math" w:hAnsi="Cambria Math"/>
            </w:rPr>
            <w:lastRenderedPageBreak/>
            <m:t>Non-shortage year GPCD=</m:t>
          </m:r>
          <m:f>
            <m:fPr>
              <m:ctrlPr>
                <w:rPr>
                  <w:rFonts w:ascii="Cambria Math" w:hAnsi="Cambria Math"/>
                  <w:i/>
                </w:rPr>
              </m:ctrlPr>
            </m:fPr>
            <m:num>
              <m:r>
                <w:rPr>
                  <w:rFonts w:ascii="Cambria Math" w:hAnsi="Cambria Math"/>
                </w:rPr>
                <m:t>1,764,548 AF+1,791,189 AF</m:t>
              </m:r>
            </m:num>
            <m:den>
              <m:r>
                <w:rPr>
                  <w:rFonts w:ascii="Cambria Math" w:hAnsi="Cambria Math"/>
                </w:rPr>
                <m:t>18,609,536</m:t>
              </m:r>
            </m:den>
          </m:f>
          <m:r>
            <w:rPr>
              <w:rFonts w:ascii="Cambria Math" w:hAnsi="Cambria Math"/>
            </w:rPr>
            <m:t>×</m:t>
          </m:r>
          <m:f>
            <m:fPr>
              <m:ctrlPr>
                <w:rPr>
                  <w:rFonts w:ascii="Cambria Math" w:hAnsi="Cambria Math"/>
                  <w:i/>
                </w:rPr>
              </m:ctrlPr>
            </m:fPr>
            <m:num>
              <m:r>
                <w:rPr>
                  <w:rFonts w:ascii="Cambria Math" w:hAnsi="Cambria Math"/>
                </w:rPr>
                <m:t>325851 gal/acft</m:t>
              </m:r>
            </m:num>
            <m:den>
              <m:r>
                <w:rPr>
                  <w:rFonts w:ascii="Cambria Math" w:hAnsi="Cambria Math"/>
                </w:rPr>
                <m:t>365 days</m:t>
              </m:r>
            </m:den>
          </m:f>
        </m:oMath>
      </m:oMathPara>
    </w:p>
    <w:p w14:paraId="7C17893C" w14:textId="77777777" w:rsidR="00B617F1" w:rsidRPr="00327127" w:rsidRDefault="00B617F1" w:rsidP="00B617F1">
      <m:oMathPara>
        <m:oMath>
          <m:r>
            <w:rPr>
              <w:rFonts w:ascii="Cambria Math" w:hAnsi="Cambria Math"/>
            </w:rPr>
            <m:t>Non-shortage year GPCD=170.58</m:t>
          </m:r>
        </m:oMath>
      </m:oMathPara>
    </w:p>
    <w:p w14:paraId="3A88F251" w14:textId="664FDF9C" w:rsidR="00B617F1" w:rsidRDefault="00B617F1" w:rsidP="00B617F1">
      <w:r>
        <w:t xml:space="preserve">The level </w:t>
      </w:r>
      <w:proofErr w:type="gramStart"/>
      <w:r>
        <w:t>two shortage</w:t>
      </w:r>
      <w:proofErr w:type="gramEnd"/>
      <w:r>
        <w:t xml:space="preserve"> </w:t>
      </w:r>
      <w:proofErr w:type="spellStart"/>
      <w:r>
        <w:t>gpcd</w:t>
      </w:r>
      <w:proofErr w:type="spellEnd"/>
      <w:r>
        <w:t xml:space="preserve"> was determined by adding the 2015 total local supply, and the total Met supply under a level two shortage identified in the WSAP. </w:t>
      </w:r>
      <w:proofErr w:type="gramStart"/>
      <w:r>
        <w:t>This total was then divided by the total population of the Met service area</w:t>
      </w:r>
      <w:proofErr w:type="gramEnd"/>
      <w:r>
        <w:t xml:space="preserve">. Lastly, the result was converted from </w:t>
      </w:r>
      <w:proofErr w:type="gramStart"/>
      <w:r>
        <w:t>acre fe</w:t>
      </w:r>
      <w:r w:rsidR="009C6DFD">
        <w:t>et</w:t>
      </w:r>
      <w:proofErr w:type="gramEnd"/>
      <w:r w:rsidR="009C6DFD">
        <w:t xml:space="preserve"> per year to gallons per day:</w:t>
      </w:r>
    </w:p>
    <w:p w14:paraId="32C4EBD6" w14:textId="77777777" w:rsidR="00B617F1" w:rsidRPr="00653D19" w:rsidRDefault="00B617F1" w:rsidP="00B617F1">
      <m:oMathPara>
        <m:oMath>
          <m:r>
            <w:rPr>
              <w:rFonts w:ascii="Cambria Math" w:hAnsi="Cambria Math"/>
            </w:rPr>
            <m:t xml:space="preserve">Level 2 shortage GPCD= </m:t>
          </m:r>
          <m:f>
            <m:fPr>
              <m:ctrlPr>
                <w:rPr>
                  <w:rFonts w:ascii="Cambria Math" w:hAnsi="Cambria Math"/>
                  <w:i/>
                </w:rPr>
              </m:ctrlPr>
            </m:fPr>
            <m:num>
              <m:r>
                <w:rPr>
                  <w:rFonts w:ascii="Cambria Math" w:hAnsi="Cambria Math"/>
                </w:rPr>
                <m:t xml:space="preserve">Met Supply </m:t>
              </m:r>
              <m:d>
                <m:dPr>
                  <m:ctrlPr>
                    <w:rPr>
                      <w:rFonts w:ascii="Cambria Math" w:hAnsi="Cambria Math"/>
                      <w:i/>
                    </w:rPr>
                  </m:ctrlPr>
                </m:dPr>
                <m:e>
                  <m:r>
                    <w:rPr>
                      <w:rFonts w:ascii="Cambria Math" w:hAnsi="Cambria Math"/>
                    </w:rPr>
                    <m:t>AF</m:t>
                  </m:r>
                </m:e>
              </m:d>
              <m:r>
                <w:rPr>
                  <w:rFonts w:ascii="Cambria Math" w:hAnsi="Cambria Math"/>
                </w:rPr>
                <m:t xml:space="preserve">+Local Supply </m:t>
              </m:r>
              <m:d>
                <m:dPr>
                  <m:ctrlPr>
                    <w:rPr>
                      <w:rFonts w:ascii="Cambria Math" w:hAnsi="Cambria Math"/>
                      <w:i/>
                    </w:rPr>
                  </m:ctrlPr>
                </m:dPr>
                <m:e>
                  <m:r>
                    <w:rPr>
                      <w:rFonts w:ascii="Cambria Math" w:hAnsi="Cambria Math"/>
                    </w:rPr>
                    <m:t>AF</m:t>
                  </m:r>
                </m:e>
              </m:d>
            </m:num>
            <m:den>
              <m:r>
                <w:rPr>
                  <w:rFonts w:ascii="Cambria Math" w:hAnsi="Cambria Math"/>
                </w:rPr>
                <m:t xml:space="preserve">Total Population </m:t>
              </m:r>
            </m:den>
          </m:f>
          <m:r>
            <w:rPr>
              <w:rFonts w:ascii="Cambria Math" w:hAnsi="Cambria Math"/>
            </w:rPr>
            <m:t>×</m:t>
          </m:r>
          <m:f>
            <m:fPr>
              <m:ctrlPr>
                <w:rPr>
                  <w:rFonts w:ascii="Cambria Math" w:hAnsi="Cambria Math"/>
                  <w:i/>
                </w:rPr>
              </m:ctrlPr>
            </m:fPr>
            <m:num>
              <m:r>
                <w:rPr>
                  <w:rFonts w:ascii="Cambria Math" w:hAnsi="Cambria Math"/>
                </w:rPr>
                <m:t>325851 gall</m:t>
              </m:r>
              <m:r>
                <w:rPr>
                  <w:rFonts w:ascii="Cambria Math" w:hAnsi="Cambria Math"/>
                </w:rPr>
                <m:t>ons/acft</m:t>
              </m:r>
            </m:num>
            <m:den>
              <m:r>
                <w:rPr>
                  <w:rFonts w:ascii="Cambria Math" w:hAnsi="Cambria Math"/>
                </w:rPr>
                <m:t>365 days</m:t>
              </m:r>
            </m:den>
          </m:f>
        </m:oMath>
      </m:oMathPara>
    </w:p>
    <w:p w14:paraId="4798457C" w14:textId="77777777" w:rsidR="00B617F1" w:rsidRPr="00327127" w:rsidRDefault="00B617F1" w:rsidP="00B617F1">
      <m:oMathPara>
        <m:oMath>
          <m:r>
            <w:rPr>
              <w:rFonts w:ascii="Cambria Math" w:hAnsi="Cambria Math"/>
            </w:rPr>
            <m:t>Non-shortage year GPCD=</m:t>
          </m:r>
          <m:f>
            <m:fPr>
              <m:ctrlPr>
                <w:rPr>
                  <w:rFonts w:ascii="Cambria Math" w:hAnsi="Cambria Math"/>
                  <w:i/>
                </w:rPr>
              </m:ctrlPr>
            </m:fPr>
            <m:num>
              <m:r>
                <w:rPr>
                  <w:rFonts w:ascii="Cambria Math" w:hAnsi="Cambria Math"/>
                </w:rPr>
                <m:t>1,616,087 AF+1,791,189 AF</m:t>
              </m:r>
            </m:num>
            <m:den>
              <m:r>
                <w:rPr>
                  <w:rFonts w:ascii="Cambria Math" w:hAnsi="Cambria Math"/>
                </w:rPr>
                <m:t>18,609,536</m:t>
              </m:r>
            </m:den>
          </m:f>
          <m:r>
            <w:rPr>
              <w:rFonts w:ascii="Cambria Math" w:hAnsi="Cambria Math"/>
            </w:rPr>
            <m:t>×</m:t>
          </m:r>
          <m:f>
            <m:fPr>
              <m:ctrlPr>
                <w:rPr>
                  <w:rFonts w:ascii="Cambria Math" w:hAnsi="Cambria Math"/>
                  <w:i/>
                </w:rPr>
              </m:ctrlPr>
            </m:fPr>
            <m:num>
              <m:r>
                <w:rPr>
                  <w:rFonts w:ascii="Cambria Math" w:hAnsi="Cambria Math"/>
                </w:rPr>
                <m:t>325851 gal/acft</m:t>
              </m:r>
            </m:num>
            <m:den>
              <m:r>
                <w:rPr>
                  <w:rFonts w:ascii="Cambria Math" w:hAnsi="Cambria Math"/>
                </w:rPr>
                <m:t>365 days</m:t>
              </m:r>
            </m:den>
          </m:f>
        </m:oMath>
      </m:oMathPara>
    </w:p>
    <w:p w14:paraId="37AE9099" w14:textId="77777777" w:rsidR="00B617F1" w:rsidRPr="00327127" w:rsidRDefault="00B617F1" w:rsidP="00B617F1">
      <m:oMathPara>
        <m:oMath>
          <m:r>
            <w:rPr>
              <w:rFonts w:ascii="Cambria Math" w:hAnsi="Cambria Math"/>
            </w:rPr>
            <m:t>Non-shortage year GPCD=163.45</m:t>
          </m:r>
        </m:oMath>
      </m:oMathPara>
    </w:p>
    <w:p w14:paraId="3EEDFC4C" w14:textId="77777777" w:rsidR="00B617F1" w:rsidRDefault="00B617F1" w:rsidP="00B617F1">
      <w:r>
        <w:t xml:space="preserve">Using this methodology to set the </w:t>
      </w:r>
      <w:proofErr w:type="spellStart"/>
      <w:r>
        <w:t>gpcd</w:t>
      </w:r>
      <w:proofErr w:type="spellEnd"/>
      <w:r>
        <w:t xml:space="preserve"> levels for shortage years ensures the total allocation to all member agencies does not exceed Met’s supply. </w:t>
      </w:r>
    </w:p>
    <w:p w14:paraId="4AF4CAB9" w14:textId="77777777" w:rsidR="00B617F1" w:rsidRPr="006E11F1" w:rsidRDefault="00B617F1" w:rsidP="00B617F1">
      <w:pPr>
        <w:pStyle w:val="Heading4"/>
      </w:pPr>
      <w:r w:rsidRPr="006E11F1">
        <w:t>Determining the Allocation</w:t>
      </w:r>
    </w:p>
    <w:p w14:paraId="2C11F041" w14:textId="77777777" w:rsidR="00B617F1" w:rsidRPr="00874D3D" w:rsidRDefault="00B617F1" w:rsidP="00B617F1">
      <w:pPr>
        <w:rPr>
          <w:rFonts w:eastAsia="Times New Roman"/>
          <w:bCs/>
          <w:szCs w:val="23"/>
        </w:rPr>
      </w:pPr>
      <w:r>
        <w:t xml:space="preserve">Once the </w:t>
      </w:r>
      <w:proofErr w:type="spellStart"/>
      <w:r>
        <w:t>gpcd</w:t>
      </w:r>
      <w:proofErr w:type="spellEnd"/>
      <w:r>
        <w:t xml:space="preserve"> in shortage and non-shortage years is determined it is used to determine the amount of water allocated to each member agency. </w:t>
      </w:r>
      <w:proofErr w:type="gramStart"/>
      <w:r>
        <w:t xml:space="preserve">The </w:t>
      </w:r>
      <w:proofErr w:type="spellStart"/>
      <w:r>
        <w:t>gpcd</w:t>
      </w:r>
      <w:proofErr w:type="spellEnd"/>
      <w:r>
        <w:t xml:space="preserve"> (Non-shortage </w:t>
      </w:r>
      <w:proofErr w:type="spellStart"/>
      <w:r>
        <w:t>gpcd</w:t>
      </w:r>
      <w:proofErr w:type="spellEnd"/>
      <w:r>
        <w:t xml:space="preserve"> 170.58, or Shortage level 2 </w:t>
      </w:r>
      <w:proofErr w:type="spellStart"/>
      <w:r>
        <w:t>gpcd</w:t>
      </w:r>
      <w:proofErr w:type="spellEnd"/>
      <w:r>
        <w:t xml:space="preserve"> 163.45) wa</w:t>
      </w:r>
      <w:r w:rsidRPr="004501A8">
        <w:t>s multiplied by the 2</w:t>
      </w:r>
      <w:r>
        <w:t>015 population for each agency</w:t>
      </w:r>
      <w:proofErr w:type="gramEnd"/>
      <w:r>
        <w:t>. Long Beach Water Department under non-shortage conditions is provided as an example to illustrate the allocation method:</w:t>
      </w:r>
    </w:p>
    <w:p w14:paraId="473AA74F" w14:textId="77777777" w:rsidR="00B617F1" w:rsidRDefault="00B617F1" w:rsidP="00B617F1">
      <w:pPr>
        <w:spacing w:after="200" w:line="240" w:lineRule="auto"/>
        <w:rPr>
          <w:rFonts w:eastAsia="Times New Roman"/>
          <w:bCs/>
          <w:szCs w:val="23"/>
        </w:rPr>
      </w:pPr>
      <m:oMathPara>
        <m:oMath>
          <m:r>
            <w:rPr>
              <w:rFonts w:ascii="Cambria Math" w:eastAsia="Times New Roman" w:hAnsi="Cambria Math"/>
              <w:szCs w:val="23"/>
            </w:rPr>
            <m:t>Initial Allocation=</m:t>
          </m:r>
          <m:d>
            <m:dPr>
              <m:ctrlPr>
                <w:rPr>
                  <w:rFonts w:ascii="Cambria Math" w:eastAsia="Times New Roman" w:hAnsi="Cambria Math"/>
                  <w:bCs/>
                  <w:i/>
                  <w:szCs w:val="23"/>
                </w:rPr>
              </m:ctrlPr>
            </m:dPr>
            <m:e>
              <m:r>
                <w:rPr>
                  <w:rFonts w:ascii="Cambria Math" w:eastAsia="Times New Roman" w:hAnsi="Cambria Math"/>
                  <w:szCs w:val="23"/>
                </w:rPr>
                <m:t>2015 Population × Non</m:t>
              </m:r>
              <m:r>
                <m:rPr>
                  <m:nor/>
                </m:rPr>
                <w:rPr>
                  <w:rFonts w:ascii="Cambria Math" w:eastAsia="Times New Roman" w:hAnsi="Cambria Math"/>
                  <w:szCs w:val="23"/>
                </w:rPr>
                <m:t>-</m:t>
              </m:r>
              <m:r>
                <w:rPr>
                  <w:rFonts w:ascii="Cambria Math" w:eastAsia="Times New Roman" w:hAnsi="Cambria Math"/>
                  <w:szCs w:val="23"/>
                </w:rPr>
                <m:t>shortage GPCD</m:t>
              </m:r>
            </m:e>
          </m:d>
          <m:r>
            <w:rPr>
              <w:rFonts w:ascii="Cambria Math" w:eastAsia="Times New Roman" w:hAnsi="Cambria Math"/>
              <w:szCs w:val="23"/>
            </w:rPr>
            <m:t xml:space="preserve">-2015 Local Supply </m:t>
          </m:r>
        </m:oMath>
      </m:oMathPara>
    </w:p>
    <w:p w14:paraId="3031564B" w14:textId="77777777" w:rsidR="00B617F1" w:rsidRPr="00874D3D" w:rsidRDefault="00B617F1" w:rsidP="00B617F1">
      <w:pPr>
        <w:spacing w:after="200" w:line="240" w:lineRule="auto"/>
        <w:rPr>
          <w:rFonts w:eastAsia="Times New Roman"/>
          <w:bCs/>
          <w:szCs w:val="23"/>
        </w:rPr>
      </w:pPr>
      <m:oMathPara>
        <m:oMath>
          <m:r>
            <w:rPr>
              <w:rFonts w:ascii="Cambria Math" w:eastAsia="Times New Roman" w:hAnsi="Cambria Math"/>
              <w:szCs w:val="23"/>
            </w:rPr>
            <m:t>LBWD Initial Allocation=</m:t>
          </m:r>
          <m:d>
            <m:dPr>
              <m:ctrlPr>
                <w:rPr>
                  <w:rFonts w:ascii="Cambria Math" w:eastAsia="Times New Roman" w:hAnsi="Cambria Math"/>
                  <w:bCs/>
                  <w:i/>
                  <w:szCs w:val="23"/>
                </w:rPr>
              </m:ctrlPr>
            </m:dPr>
            <m:e>
              <m:r>
                <w:rPr>
                  <w:rFonts w:ascii="Cambria Math" w:eastAsia="Times New Roman" w:hAnsi="Cambria Math"/>
                  <w:szCs w:val="23"/>
                </w:rPr>
                <m:t>481,579 people ×170.58 GPCD</m:t>
              </m:r>
            </m:e>
          </m:d>
          <m:r>
            <w:rPr>
              <w:rFonts w:ascii="Cambria Math" w:eastAsia="Times New Roman" w:hAnsi="Cambria Math"/>
              <w:szCs w:val="23"/>
            </w:rPr>
            <m:t xml:space="preserve">=78,714,077 </m:t>
          </m:r>
          <m:f>
            <m:fPr>
              <m:type m:val="skw"/>
              <m:ctrlPr>
                <w:rPr>
                  <w:rFonts w:ascii="Cambria Math" w:eastAsia="Times New Roman" w:hAnsi="Cambria Math"/>
                  <w:bCs/>
                  <w:i/>
                  <w:szCs w:val="23"/>
                </w:rPr>
              </m:ctrlPr>
            </m:fPr>
            <m:num>
              <m:r>
                <w:rPr>
                  <w:rFonts w:ascii="Cambria Math" w:eastAsia="Times New Roman" w:hAnsi="Cambria Math"/>
                  <w:szCs w:val="23"/>
                </w:rPr>
                <m:t>Gallons</m:t>
              </m:r>
            </m:num>
            <m:den>
              <m:r>
                <w:rPr>
                  <w:rFonts w:ascii="Cambria Math" w:eastAsia="Times New Roman" w:hAnsi="Cambria Math"/>
                  <w:szCs w:val="23"/>
                </w:rPr>
                <m:t>Day</m:t>
              </m:r>
            </m:den>
          </m:f>
        </m:oMath>
      </m:oMathPara>
    </w:p>
    <w:p w14:paraId="6FC857DB" w14:textId="77777777" w:rsidR="00B617F1" w:rsidRPr="000D7EBA" w:rsidRDefault="00B617F1" w:rsidP="00B617F1">
      <w:pPr>
        <w:spacing w:after="200" w:line="240" w:lineRule="auto"/>
        <w:rPr>
          <w:rFonts w:eastAsia="Times New Roman"/>
          <w:bCs/>
          <w:szCs w:val="23"/>
        </w:rPr>
      </w:pPr>
      <w:r>
        <w:t xml:space="preserve">Allocations were then converted to </w:t>
      </w:r>
      <w:proofErr w:type="gramStart"/>
      <w:r>
        <w:t>acre feet</w:t>
      </w:r>
      <w:proofErr w:type="gramEnd"/>
      <w:r>
        <w:t>:</w:t>
      </w:r>
    </w:p>
    <w:p w14:paraId="73DF59E0" w14:textId="77777777" w:rsidR="00B617F1" w:rsidRPr="00874D3D" w:rsidRDefault="00B617F1" w:rsidP="00B617F1">
      <w:pPr>
        <w:spacing w:after="200" w:line="240" w:lineRule="auto"/>
        <w:rPr>
          <w:rFonts w:eastAsia="Times New Roman"/>
          <w:bCs/>
          <w:szCs w:val="23"/>
        </w:rPr>
      </w:pPr>
      <m:oMathPara>
        <m:oMath>
          <m:r>
            <w:rPr>
              <w:rFonts w:ascii="Cambria Math" w:eastAsia="Times New Roman" w:hAnsi="Cambria Math"/>
              <w:szCs w:val="23"/>
            </w:rPr>
            <w:lastRenderedPageBreak/>
            <m:t xml:space="preserve">83,385,939 </m:t>
          </m:r>
          <m:f>
            <m:fPr>
              <m:type m:val="skw"/>
              <m:ctrlPr>
                <w:rPr>
                  <w:rFonts w:ascii="Cambria Math" w:eastAsia="Times New Roman" w:hAnsi="Cambria Math"/>
                  <w:bCs/>
                  <w:i/>
                  <w:szCs w:val="23"/>
                </w:rPr>
              </m:ctrlPr>
            </m:fPr>
            <m:num>
              <m:r>
                <w:rPr>
                  <w:rFonts w:ascii="Cambria Math" w:eastAsia="Times New Roman" w:hAnsi="Cambria Math"/>
                  <w:szCs w:val="23"/>
                </w:rPr>
                <m:t>Gallons</m:t>
              </m:r>
            </m:num>
            <m:den>
              <m:r>
                <w:rPr>
                  <w:rFonts w:ascii="Cambria Math" w:eastAsia="Times New Roman" w:hAnsi="Cambria Math"/>
                  <w:szCs w:val="23"/>
                </w:rPr>
                <m:t>Day</m:t>
              </m:r>
            </m:den>
          </m:f>
          <m:r>
            <w:rPr>
              <w:rFonts w:ascii="Cambria Math" w:eastAsia="Times New Roman" w:hAnsi="Cambria Math"/>
              <w:szCs w:val="23"/>
            </w:rPr>
            <m:t xml:space="preserve"> →88,171 </m:t>
          </m:r>
          <m:f>
            <m:fPr>
              <m:type m:val="skw"/>
              <m:ctrlPr>
                <w:rPr>
                  <w:rFonts w:ascii="Cambria Math" w:eastAsia="Times New Roman" w:hAnsi="Cambria Math"/>
                  <w:bCs/>
                  <w:i/>
                  <w:szCs w:val="23"/>
                </w:rPr>
              </m:ctrlPr>
            </m:fPr>
            <m:num>
              <m:r>
                <w:rPr>
                  <w:rFonts w:ascii="Cambria Math" w:eastAsia="Times New Roman" w:hAnsi="Cambria Math"/>
                  <w:szCs w:val="23"/>
                </w:rPr>
                <m:t>AF</m:t>
              </m:r>
            </m:num>
            <m:den>
              <m:r>
                <w:rPr>
                  <w:rFonts w:ascii="Cambria Math" w:eastAsia="Times New Roman" w:hAnsi="Cambria Math"/>
                  <w:szCs w:val="23"/>
                </w:rPr>
                <m:t>Year</m:t>
              </m:r>
            </m:den>
          </m:f>
        </m:oMath>
      </m:oMathPara>
    </w:p>
    <w:p w14:paraId="5A87E72D" w14:textId="77777777" w:rsidR="00B617F1" w:rsidRPr="000D7EBA" w:rsidRDefault="00B617F1" w:rsidP="00B617F1">
      <w:pPr>
        <w:spacing w:after="200" w:line="240" w:lineRule="auto"/>
        <w:rPr>
          <w:rFonts w:eastAsia="Times New Roman"/>
          <w:bCs/>
          <w:szCs w:val="23"/>
        </w:rPr>
      </w:pPr>
      <w:r>
        <w:t>Local supplies were</w:t>
      </w:r>
      <w:r w:rsidRPr="004501A8">
        <w:t xml:space="preserve"> </w:t>
      </w:r>
      <w:r>
        <w:t>then subtracted to determine</w:t>
      </w:r>
      <w:r w:rsidRPr="004501A8">
        <w:t xml:space="preserve"> </w:t>
      </w:r>
      <w:r>
        <w:t xml:space="preserve">an </w:t>
      </w:r>
      <w:r w:rsidRPr="004501A8">
        <w:t>agency’s al</w:t>
      </w:r>
      <w:r>
        <w:t>location from Met:</w:t>
      </w:r>
    </w:p>
    <w:p w14:paraId="2ABC8C7B" w14:textId="77777777" w:rsidR="00B617F1" w:rsidRPr="004501A8" w:rsidRDefault="00B617F1" w:rsidP="00B617F1">
      <w:pPr>
        <w:spacing w:after="200" w:line="240" w:lineRule="auto"/>
        <w:rPr>
          <w:rFonts w:eastAsia="Times New Roman"/>
          <w:bCs/>
          <w:szCs w:val="23"/>
        </w:rPr>
      </w:pPr>
      <m:oMathPara>
        <m:oMath>
          <m:r>
            <w:rPr>
              <w:rFonts w:ascii="Cambria Math" w:eastAsia="Times New Roman" w:hAnsi="Cambria Math"/>
              <w:szCs w:val="23"/>
            </w:rPr>
            <m:t xml:space="preserve">88,171 </m:t>
          </m:r>
          <m:f>
            <m:fPr>
              <m:type m:val="skw"/>
              <m:ctrlPr>
                <w:rPr>
                  <w:rFonts w:ascii="Cambria Math" w:eastAsia="Times New Roman" w:hAnsi="Cambria Math"/>
                  <w:bCs/>
                  <w:i/>
                  <w:szCs w:val="23"/>
                </w:rPr>
              </m:ctrlPr>
            </m:fPr>
            <m:num>
              <m:r>
                <w:rPr>
                  <w:rFonts w:ascii="Cambria Math" w:eastAsia="Times New Roman" w:hAnsi="Cambria Math"/>
                  <w:szCs w:val="23"/>
                </w:rPr>
                <m:t>AF</m:t>
              </m:r>
            </m:num>
            <m:den>
              <m:r>
                <w:rPr>
                  <w:rFonts w:ascii="Cambria Math" w:eastAsia="Times New Roman" w:hAnsi="Cambria Math"/>
                  <w:szCs w:val="23"/>
                </w:rPr>
                <m:t>Year</m:t>
              </m:r>
            </m:den>
          </m:f>
          <m:r>
            <w:rPr>
              <w:rFonts w:ascii="Cambria Math" w:eastAsia="Times New Roman" w:hAnsi="Cambria Math"/>
              <w:szCs w:val="23"/>
            </w:rPr>
            <m:t>-29,085 AF=</m:t>
          </m:r>
          <m:r>
            <m:rPr>
              <m:sty m:val="bi"/>
            </m:rPr>
            <w:rPr>
              <w:rFonts w:ascii="Cambria Math" w:eastAsia="Times New Roman" w:hAnsi="Cambria Math"/>
              <w:szCs w:val="23"/>
            </w:rPr>
            <m:t>59,086 AF</m:t>
          </m:r>
        </m:oMath>
      </m:oMathPara>
    </w:p>
    <w:p w14:paraId="1E660A13" w14:textId="77777777" w:rsidR="00B617F1" w:rsidRDefault="00B617F1" w:rsidP="00B617F1">
      <w:r w:rsidRPr="004501A8">
        <w:t xml:space="preserve">Each agency’s </w:t>
      </w:r>
      <w:proofErr w:type="spellStart"/>
      <w:r>
        <w:t>gpcd</w:t>
      </w:r>
      <w:proofErr w:type="spellEnd"/>
      <w:r w:rsidRPr="004501A8">
        <w:t xml:space="preserve"> allocation is compared to the amount of water they </w:t>
      </w:r>
      <w:r>
        <w:t>have requested to purchase</w:t>
      </w:r>
      <w:r w:rsidRPr="004501A8">
        <w:t xml:space="preserve"> </w:t>
      </w:r>
      <w:r>
        <w:t>in 2015</w:t>
      </w:r>
      <w:r w:rsidRPr="004501A8">
        <w:t xml:space="preserve"> according to </w:t>
      </w:r>
      <w:r>
        <w:t>2015 WSAP</w:t>
      </w:r>
      <w:r w:rsidRPr="004501A8">
        <w:t xml:space="preserve">. Comparison of the </w:t>
      </w:r>
      <w:proofErr w:type="spellStart"/>
      <w:r>
        <w:t>gpcd</w:t>
      </w:r>
      <w:proofErr w:type="spellEnd"/>
      <w:r w:rsidRPr="004501A8">
        <w:t xml:space="preserve"> allocation and purchased water indicates whether the allocation method will result in a surplus or a deficit for the agency. If the amount of water allocated to the agency is greater than the amount of water they were projected to purchase in 2015 the agency is considered to have a surplus. If the amount of water the agency is allocated based on the </w:t>
      </w:r>
      <w:proofErr w:type="spellStart"/>
      <w:r>
        <w:t>gpcd</w:t>
      </w:r>
      <w:proofErr w:type="spellEnd"/>
      <w:r w:rsidRPr="004501A8">
        <w:t xml:space="preserve"> method is less than the amount they were projected to purchase in 2015 the agency is considered to have a deficit. </w:t>
      </w:r>
    </w:p>
    <w:p w14:paraId="4B9D4801" w14:textId="77777777" w:rsidR="00B617F1" w:rsidRPr="00F9051A" w:rsidRDefault="00B617F1" w:rsidP="00B617F1">
      <w:pPr>
        <w:spacing w:after="200" w:line="240" w:lineRule="auto"/>
        <w:rPr>
          <w:rFonts w:eastAsia="Times New Roman"/>
          <w:bCs/>
          <w:szCs w:val="23"/>
        </w:rPr>
      </w:pPr>
      <m:oMathPara>
        <m:oMath>
          <m:r>
            <w:rPr>
              <w:rFonts w:ascii="Cambria Math" w:eastAsia="Times New Roman" w:hAnsi="Cambria Math"/>
              <w:szCs w:val="23"/>
            </w:rPr>
            <m:t>GPCD Alloction-2015 MWD Purchase=Surplus or Deficit</m:t>
          </m:r>
        </m:oMath>
      </m:oMathPara>
    </w:p>
    <w:p w14:paraId="359EC15B" w14:textId="6BE024AE" w:rsidR="00B617F1" w:rsidRPr="001C3523" w:rsidRDefault="00B617F1" w:rsidP="00B617F1">
      <w:pPr>
        <w:rPr>
          <w:szCs w:val="23"/>
        </w:rPr>
      </w:pPr>
      <m:oMathPara>
        <m:oMath>
          <m:r>
            <w:rPr>
              <w:rFonts w:ascii="Cambria Math" w:eastAsia="Times New Roman" w:hAnsi="Cambria Math"/>
              <w:szCs w:val="23"/>
            </w:rPr>
            <m:t xml:space="preserve">59,086 AF-30,975 AF=28,111 AF </m:t>
          </m:r>
          <m:d>
            <m:dPr>
              <m:ctrlPr>
                <w:rPr>
                  <w:rFonts w:ascii="Cambria Math" w:eastAsia="Times New Roman" w:hAnsi="Cambria Math"/>
                  <w:i/>
                  <w:szCs w:val="23"/>
                </w:rPr>
              </m:ctrlPr>
            </m:dPr>
            <m:e>
              <m:r>
                <w:rPr>
                  <w:rFonts w:ascii="Cambria Math" w:eastAsia="Times New Roman" w:hAnsi="Cambria Math"/>
                  <w:szCs w:val="23"/>
                </w:rPr>
                <m:t>Surplus</m:t>
              </m:r>
            </m:e>
          </m:d>
        </m:oMath>
      </m:oMathPara>
    </w:p>
    <w:p w14:paraId="7799C761" w14:textId="044C88A7" w:rsidR="001C3523" w:rsidRDefault="001C3523" w:rsidP="001C3523">
      <w:r>
        <w:t xml:space="preserve">In our </w:t>
      </w:r>
      <w:proofErr w:type="spellStart"/>
      <w:r>
        <w:t>gpcd</w:t>
      </w:r>
      <w:proofErr w:type="spellEnd"/>
      <w:r>
        <w:t xml:space="preserve"> allocation, the total amount of water that is allocated to the Met system is determined by a </w:t>
      </w:r>
      <w:proofErr w:type="spellStart"/>
      <w:r>
        <w:t>gpcd</w:t>
      </w:r>
      <w:proofErr w:type="spellEnd"/>
      <w:r>
        <w:t xml:space="preserve"> benchmark that is applied uniformly to all agencies. If we set the benchmark to </w:t>
      </w:r>
      <w:r w:rsidRPr="000A2D99">
        <w:rPr>
          <w:b/>
        </w:rPr>
        <w:t>171</w:t>
      </w:r>
      <w:r>
        <w:t xml:space="preserve"> </w:t>
      </w:r>
      <w:proofErr w:type="spellStart"/>
      <w:r>
        <w:t>gpcd</w:t>
      </w:r>
      <w:proofErr w:type="spellEnd"/>
      <w:r>
        <w:t>, we obtain a total allocation equivalent to that of the 2015 WSAP under a no shortage scenario (1.764 million AF), allowing us to compare the distribution of water under both systems</w:t>
      </w:r>
      <w:r w:rsidR="00D76ACF">
        <w:t xml:space="preserve"> </w:t>
      </w:r>
      <w:r w:rsidR="00D76ACF" w:rsidRPr="000D6B0E">
        <w:t>(</w:t>
      </w:r>
      <w:r w:rsidR="000D6B0E" w:rsidRPr="000D6B0E">
        <w:fldChar w:fldCharType="begin"/>
      </w:r>
      <w:r w:rsidR="000D6B0E" w:rsidRPr="000D6B0E">
        <w:instrText xml:space="preserve"> REF _Ref286081076 \h </w:instrText>
      </w:r>
      <w:r w:rsidR="000D6B0E">
        <w:instrText xml:space="preserve"> \* MERGEFORMAT </w:instrText>
      </w:r>
      <w:r w:rsidR="000D6B0E" w:rsidRPr="000D6B0E">
        <w:fldChar w:fldCharType="separate"/>
      </w:r>
      <w:r w:rsidR="000D6B0E" w:rsidRPr="000D6B0E">
        <w:t xml:space="preserve">Table </w:t>
      </w:r>
      <w:r w:rsidR="000D6B0E" w:rsidRPr="000D6B0E">
        <w:rPr>
          <w:noProof/>
        </w:rPr>
        <w:t>10</w:t>
      </w:r>
      <w:r w:rsidR="000D6B0E" w:rsidRPr="000D6B0E">
        <w:noBreakHyphen/>
      </w:r>
      <w:r w:rsidR="000D6B0E" w:rsidRPr="000D6B0E">
        <w:rPr>
          <w:noProof/>
        </w:rPr>
        <w:t>3</w:t>
      </w:r>
      <w:r w:rsidR="000D6B0E" w:rsidRPr="000D6B0E">
        <w:fldChar w:fldCharType="end"/>
      </w:r>
      <w:r w:rsidR="00D76ACF">
        <w:t>, left column)</w:t>
      </w:r>
      <w:r>
        <w:t>.</w:t>
      </w:r>
    </w:p>
    <w:p w14:paraId="0972A0B0" w14:textId="43611DFA" w:rsidR="00D76ACF" w:rsidRDefault="001C3523" w:rsidP="001C3523">
      <w:r>
        <w:t xml:space="preserve">In our simple formulation, the amount of water allocated to each agency is determined by multiplying the benchmark by the agency’s population. Agencies with </w:t>
      </w:r>
      <w:proofErr w:type="spellStart"/>
      <w:r>
        <w:t>gpcd’s</w:t>
      </w:r>
      <w:proofErr w:type="spellEnd"/>
      <w:r>
        <w:t xml:space="preserve"> above the benchmark have deficits, while those with </w:t>
      </w:r>
      <w:proofErr w:type="spellStart"/>
      <w:r>
        <w:t>gpcd’s</w:t>
      </w:r>
      <w:proofErr w:type="spellEnd"/>
      <w:r>
        <w:t xml:space="preserve"> below the ben</w:t>
      </w:r>
      <w:r w:rsidR="00D76ACF">
        <w:t>chmark are left with surpluses</w:t>
      </w:r>
      <w:r>
        <w:t>.</w:t>
      </w:r>
    </w:p>
    <w:p w14:paraId="70C6DFB2" w14:textId="77777777" w:rsidR="001C3523" w:rsidRDefault="001C3523" w:rsidP="001C3523">
      <w:r>
        <w:t>With the exception of the San Diego County Water Authority, the agencies with the largest surpluses tend to be older, built-out cities with high-density urban land use. These cities have a large proportion of multifamily housing, smaller lawns, and little agriculture. The agencies with deficits tend to be the fast-growing outlying areas of Riverside, San Bernardino and Ventura counties. These agencies have low-density, suburban land use, large lawns, and significant agriculture. They also tend to be located in hotter, dryer inland areas.</w:t>
      </w:r>
    </w:p>
    <w:p w14:paraId="18809D36" w14:textId="51A0DA21" w:rsidR="001C3523" w:rsidRPr="00BC7F03" w:rsidRDefault="001C3523" w:rsidP="001C3523">
      <w:r>
        <w:lastRenderedPageBreak/>
        <w:t xml:space="preserve">In a stage 2 shortage, as may occur this year, total supply is reduced 10% to 1.616 million AF. We reduce the </w:t>
      </w:r>
      <w:proofErr w:type="spellStart"/>
      <w:r>
        <w:t>gpcd</w:t>
      </w:r>
      <w:proofErr w:type="spellEnd"/>
      <w:r>
        <w:t xml:space="preserve"> benchmark to </w:t>
      </w:r>
      <w:r w:rsidRPr="000A2D99">
        <w:rPr>
          <w:b/>
        </w:rPr>
        <w:t>163</w:t>
      </w:r>
      <w:r>
        <w:t xml:space="preserve"> to model this scenario. During a </w:t>
      </w:r>
      <w:r w:rsidRPr="00BC7F03">
        <w:t>shortage, not all system demand can be met, and more agencies will have deficits (</w:t>
      </w:r>
      <w:r w:rsidR="00BC7F03" w:rsidRPr="00BC7F03">
        <w:fldChar w:fldCharType="begin"/>
      </w:r>
      <w:r w:rsidR="00BC7F03" w:rsidRPr="00BC7F03">
        <w:instrText xml:space="preserve"> REF _Ref286081076 \h </w:instrText>
      </w:r>
      <w:r w:rsidR="00BC7F03">
        <w:instrText xml:space="preserve"> \* MERGEFORMAT </w:instrText>
      </w:r>
      <w:r w:rsidR="00BC7F03" w:rsidRPr="00BC7F03">
        <w:fldChar w:fldCharType="separate"/>
      </w:r>
      <w:r w:rsidR="00BC7F03" w:rsidRPr="00BC7F03">
        <w:t xml:space="preserve">Table </w:t>
      </w:r>
      <w:r w:rsidR="00BC7F03" w:rsidRPr="00BC7F03">
        <w:rPr>
          <w:noProof/>
        </w:rPr>
        <w:t>10</w:t>
      </w:r>
      <w:r w:rsidR="00BC7F03" w:rsidRPr="00BC7F03">
        <w:noBreakHyphen/>
      </w:r>
      <w:r w:rsidR="00BC7F03" w:rsidRPr="00BC7F03">
        <w:rPr>
          <w:noProof/>
        </w:rPr>
        <w:t>3</w:t>
      </w:r>
      <w:r w:rsidR="00BC7F03" w:rsidRPr="00BC7F03">
        <w:fldChar w:fldCharType="end"/>
      </w:r>
      <w:r w:rsidRPr="00BC7F03">
        <w:t>, right column). Consequently, agencies will be motivated to conserve.</w:t>
      </w:r>
    </w:p>
    <w:p w14:paraId="46001D64" w14:textId="5B1B729D" w:rsidR="00D76ACF" w:rsidRDefault="00D76ACF" w:rsidP="00D76ACF">
      <w:pPr>
        <w:pStyle w:val="Caption"/>
        <w:keepNext/>
        <w:jc w:val="left"/>
      </w:pPr>
      <w:bookmarkStart w:id="67" w:name="_Ref286081076"/>
      <w:r w:rsidRPr="00BC7F03">
        <w:t xml:space="preserve">Table </w:t>
      </w:r>
      <w:r w:rsidR="00DF236E">
        <w:fldChar w:fldCharType="begin"/>
      </w:r>
      <w:r w:rsidR="00DF236E">
        <w:instrText xml:space="preserve"> STYLEREF 1 \s </w:instrText>
      </w:r>
      <w:r w:rsidR="00DF236E">
        <w:fldChar w:fldCharType="separate"/>
      </w:r>
      <w:r w:rsidR="009C6DFD" w:rsidRPr="00BC7F03">
        <w:rPr>
          <w:noProof/>
        </w:rPr>
        <w:t>10</w:t>
      </w:r>
      <w:r w:rsidR="00DF236E">
        <w:rPr>
          <w:noProof/>
        </w:rPr>
        <w:fldChar w:fldCharType="end"/>
      </w:r>
      <w:r w:rsidR="009C6DFD" w:rsidRPr="00BC7F03">
        <w:noBreakHyphen/>
      </w:r>
      <w:r w:rsidR="00DF236E">
        <w:fldChar w:fldCharType="begin"/>
      </w:r>
      <w:r w:rsidR="00DF236E">
        <w:instrText xml:space="preserve"> SEQ Table \* ARABIC \s 1 </w:instrText>
      </w:r>
      <w:r w:rsidR="00DF236E">
        <w:fldChar w:fldCharType="separate"/>
      </w:r>
      <w:r w:rsidR="009C6DFD" w:rsidRPr="00BC7F03">
        <w:rPr>
          <w:noProof/>
        </w:rPr>
        <w:t>3</w:t>
      </w:r>
      <w:r w:rsidR="00DF236E">
        <w:rPr>
          <w:noProof/>
        </w:rPr>
        <w:fldChar w:fldCharType="end"/>
      </w:r>
      <w:bookmarkEnd w:id="67"/>
      <w:r w:rsidRPr="00BC7F03">
        <w:t>. Bars</w:t>
      </w:r>
      <w:r>
        <w:t xml:space="preserve"> showing the difference between the </w:t>
      </w:r>
      <w:proofErr w:type="gramStart"/>
      <w:r>
        <w:t>amount</w:t>
      </w:r>
      <w:proofErr w:type="gramEnd"/>
      <w:r>
        <w:t xml:space="preserve"> of water allocated under a uniform </w:t>
      </w:r>
      <w:proofErr w:type="spellStart"/>
      <w:r>
        <w:t>gpcd</w:t>
      </w:r>
      <w:proofErr w:type="spellEnd"/>
      <w:r>
        <w:t xml:space="preserve"> system (in AF) and the amount each agency would receive under the 2015 WSAP. Two scenarios are shown: normal supply conditions (left) and Level 2 Shortage conditions (right). Older agencies representing urbanized, high-density areas tend to receive surpluses under this system, while younger agencies representing low-density exurbs have deficits.</w:t>
      </w:r>
    </w:p>
    <w:p w14:paraId="3B746350" w14:textId="77777777" w:rsidR="00D76ACF" w:rsidRDefault="00D76ACF" w:rsidP="001C3523">
      <w:r w:rsidRPr="000A2D99">
        <w:rPr>
          <w:noProof/>
        </w:rPr>
        <w:drawing>
          <wp:inline distT="0" distB="0" distL="0" distR="0" wp14:anchorId="1F2212CE" wp14:editId="79383EC7">
            <wp:extent cx="5238750" cy="525824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43990" cy="5263507"/>
                    </a:xfrm>
                    <a:prstGeom prst="rect">
                      <a:avLst/>
                    </a:prstGeom>
                    <a:noFill/>
                    <a:ln>
                      <a:noFill/>
                    </a:ln>
                  </pic:spPr>
                </pic:pic>
              </a:graphicData>
            </a:graphic>
          </wp:inline>
        </w:drawing>
      </w:r>
    </w:p>
    <w:p w14:paraId="195B40A6" w14:textId="77777777" w:rsidR="00D76ACF" w:rsidRDefault="00D76ACF" w:rsidP="001C3523"/>
    <w:p w14:paraId="00D61874" w14:textId="62ABD28C" w:rsidR="001C3523" w:rsidRDefault="00DC1192" w:rsidP="00D76ACF">
      <w:r>
        <w:fldChar w:fldCharType="begin"/>
      </w:r>
      <w:r>
        <w:instrText xml:space="preserve"> REF _Ref416281300 \h </w:instrText>
      </w:r>
      <w:r>
        <w:fldChar w:fldCharType="separate"/>
      </w:r>
      <w:r>
        <w:t xml:space="preserve">Figure </w:t>
      </w:r>
      <w:r>
        <w:rPr>
          <w:noProof/>
        </w:rPr>
        <w:t>10</w:t>
      </w:r>
      <w:r>
        <w:noBreakHyphen/>
      </w:r>
      <w:r>
        <w:rPr>
          <w:noProof/>
        </w:rPr>
        <w:t>1</w:t>
      </w:r>
      <w:r>
        <w:fldChar w:fldCharType="end"/>
      </w:r>
      <w:r>
        <w:t xml:space="preserve"> </w:t>
      </w:r>
      <w:r w:rsidR="001C3523">
        <w:t xml:space="preserve">illustrates the differences between agency demand and allocation under </w:t>
      </w:r>
      <w:r w:rsidR="001E3F44">
        <w:t xml:space="preserve">the </w:t>
      </w:r>
      <w:proofErr w:type="spellStart"/>
      <w:r w:rsidR="001E3F44">
        <w:t>gpcd</w:t>
      </w:r>
      <w:proofErr w:type="spellEnd"/>
      <w:r w:rsidR="001E3F44">
        <w:t xml:space="preserve"> scenario for a low water use</w:t>
      </w:r>
      <w:r w:rsidR="001C3523">
        <w:t xml:space="preserve"> age</w:t>
      </w:r>
      <w:r w:rsidR="001E3F44">
        <w:t>ncy (Long Beach) and a water use</w:t>
      </w:r>
      <w:r w:rsidR="001C3523">
        <w:t xml:space="preserve"> agency (</w:t>
      </w:r>
      <w:proofErr w:type="spellStart"/>
      <w:r w:rsidR="001C3523">
        <w:t>Calleguas</w:t>
      </w:r>
      <w:proofErr w:type="spellEnd"/>
      <w:r w:rsidR="001C3523">
        <w:t xml:space="preserve">). Long Beach’s allocation would exceed their demand, creating a surplus; </w:t>
      </w:r>
      <w:proofErr w:type="spellStart"/>
      <w:r w:rsidR="001C3523">
        <w:t>Calleguas</w:t>
      </w:r>
      <w:proofErr w:type="spellEnd"/>
      <w:r w:rsidR="001C3523">
        <w:t xml:space="preserve">’ allocation would not be enough to meet their demand, creating a deficit. In a market scenario, </w:t>
      </w:r>
      <w:proofErr w:type="spellStart"/>
      <w:r w:rsidR="001C3523">
        <w:t>Calleguas</w:t>
      </w:r>
      <w:proofErr w:type="spellEnd"/>
      <w:r w:rsidR="001C3523">
        <w:t xml:space="preserve"> could fulfill their deficit</w:t>
      </w:r>
      <w:r w:rsidR="00D76ACF">
        <w:t xml:space="preserve"> by purchasing from Long Beach.</w:t>
      </w:r>
    </w:p>
    <w:p w14:paraId="3074BA10" w14:textId="77777777" w:rsidR="001C3523" w:rsidRDefault="001C3523" w:rsidP="001C3523">
      <w:pPr>
        <w:keepNext/>
        <w:jc w:val="center"/>
      </w:pPr>
      <w:r>
        <w:rPr>
          <w:noProof/>
        </w:rPr>
        <w:drawing>
          <wp:inline distT="0" distB="0" distL="0" distR="0" wp14:anchorId="03B4EABF" wp14:editId="09E8CD41">
            <wp:extent cx="5340350" cy="29260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6">
                      <a:extLst>
                        <a:ext uri="{28A0092B-C50C-407E-A947-70E740481C1C}">
                          <a14:useLocalDpi xmlns:a14="http://schemas.microsoft.com/office/drawing/2010/main" val="0"/>
                        </a:ext>
                      </a:extLst>
                    </a:blip>
                    <a:srcRect t="9434"/>
                    <a:stretch/>
                  </pic:blipFill>
                  <pic:spPr bwMode="auto">
                    <a:xfrm>
                      <a:off x="0" y="0"/>
                      <a:ext cx="5340350" cy="2926080"/>
                    </a:xfrm>
                    <a:prstGeom prst="rect">
                      <a:avLst/>
                    </a:prstGeom>
                    <a:noFill/>
                    <a:ln>
                      <a:noFill/>
                    </a:ln>
                    <a:extLst>
                      <a:ext uri="{53640926-AAD7-44d8-BBD7-CCE9431645EC}">
                        <a14:shadowObscured xmlns:a14="http://schemas.microsoft.com/office/drawing/2010/main"/>
                      </a:ext>
                    </a:extLst>
                  </pic:spPr>
                </pic:pic>
              </a:graphicData>
            </a:graphic>
          </wp:inline>
        </w:drawing>
      </w:r>
    </w:p>
    <w:p w14:paraId="574CD03D" w14:textId="77777777" w:rsidR="00DC1192" w:rsidRDefault="00DC1192" w:rsidP="00DC1192">
      <w:pPr>
        <w:pStyle w:val="Caption"/>
      </w:pPr>
      <w:bookmarkStart w:id="68" w:name="_Ref416281300"/>
      <w:bookmarkStart w:id="69" w:name="_Toc416362766"/>
      <w:r>
        <w:t xml:space="preserve">Figure </w:t>
      </w:r>
      <w:r w:rsidR="00DF236E">
        <w:fldChar w:fldCharType="begin"/>
      </w:r>
      <w:r w:rsidR="00DF236E">
        <w:instrText xml:space="preserve"> STYLEREF 1 \s </w:instrText>
      </w:r>
      <w:r w:rsidR="00DF236E">
        <w:fldChar w:fldCharType="separate"/>
      </w:r>
      <w:r>
        <w:rPr>
          <w:noProof/>
        </w:rPr>
        <w:t>10</w:t>
      </w:r>
      <w:r w:rsidR="00DF236E">
        <w:rPr>
          <w:noProof/>
        </w:rPr>
        <w:fldChar w:fldCharType="end"/>
      </w:r>
      <w:r>
        <w:noBreakHyphen/>
      </w:r>
      <w:r w:rsidR="00DF236E">
        <w:fldChar w:fldCharType="begin"/>
      </w:r>
      <w:r w:rsidR="00DF236E">
        <w:instrText xml:space="preserve"> SEQ</w:instrText>
      </w:r>
      <w:r w:rsidR="00DF236E">
        <w:instrText xml:space="preserve"> Figure \* ARABIC \s 1 </w:instrText>
      </w:r>
      <w:r w:rsidR="00DF236E">
        <w:fldChar w:fldCharType="separate"/>
      </w:r>
      <w:r>
        <w:rPr>
          <w:noProof/>
        </w:rPr>
        <w:t>1</w:t>
      </w:r>
      <w:r w:rsidR="00DF236E">
        <w:rPr>
          <w:noProof/>
        </w:rPr>
        <w:fldChar w:fldCharType="end"/>
      </w:r>
      <w:bookmarkEnd w:id="68"/>
      <w:r>
        <w:t xml:space="preserve">. Comparison between the water demanded and allocation provided for a low </w:t>
      </w:r>
      <w:proofErr w:type="spellStart"/>
      <w:r>
        <w:t>gpcd</w:t>
      </w:r>
      <w:proofErr w:type="spellEnd"/>
      <w:r>
        <w:t xml:space="preserve"> agency (Long Beach) and a high </w:t>
      </w:r>
      <w:proofErr w:type="spellStart"/>
      <w:r>
        <w:t>gpcd</w:t>
      </w:r>
      <w:proofErr w:type="spellEnd"/>
      <w:r>
        <w:t xml:space="preserve"> allocation (</w:t>
      </w:r>
      <w:proofErr w:type="spellStart"/>
      <w:r>
        <w:t>Calleguas</w:t>
      </w:r>
      <w:proofErr w:type="spellEnd"/>
      <w:r>
        <w:t xml:space="preserve">) when the uniform </w:t>
      </w:r>
      <w:proofErr w:type="spellStart"/>
      <w:r>
        <w:t>gpcd</w:t>
      </w:r>
      <w:proofErr w:type="spellEnd"/>
      <w:r>
        <w:t xml:space="preserve"> benchmark is set at 171 (no shortage) and 163 (shortage level 2).</w:t>
      </w:r>
      <w:bookmarkEnd w:id="69"/>
    </w:p>
    <w:p w14:paraId="2E6FB9F8" w14:textId="38DDAAFF" w:rsidR="001C3523" w:rsidRDefault="001C3523" w:rsidP="00DC1192">
      <w:pPr>
        <w:pStyle w:val="Heading4"/>
      </w:pPr>
      <w:r w:rsidRPr="00C51818">
        <w:t>Shortcomings of this method</w:t>
      </w:r>
    </w:p>
    <w:p w14:paraId="0F3E26EA" w14:textId="77777777" w:rsidR="001C3523" w:rsidRDefault="001C3523" w:rsidP="001C3523">
      <w:r>
        <w:t xml:space="preserve">We have presented a simplified </w:t>
      </w:r>
      <w:proofErr w:type="spellStart"/>
      <w:r>
        <w:t>gpcd</w:t>
      </w:r>
      <w:proofErr w:type="spellEnd"/>
      <w:r>
        <w:t xml:space="preserve"> allocation that uses a single </w:t>
      </w:r>
      <w:proofErr w:type="spellStart"/>
      <w:r>
        <w:t>gpcd</w:t>
      </w:r>
      <w:proofErr w:type="spellEnd"/>
      <w:r>
        <w:t xml:space="preserve"> benchmark that is uniform across all agencies and all sectors, under the assumption that differences in agency </w:t>
      </w:r>
      <w:proofErr w:type="spellStart"/>
      <w:r>
        <w:t>gpcd</w:t>
      </w:r>
      <w:proofErr w:type="spellEnd"/>
      <w:r>
        <w:t xml:space="preserve"> represent different levels of conservation effort. However, holding all agencies to the same </w:t>
      </w:r>
      <w:proofErr w:type="spellStart"/>
      <w:r>
        <w:t>gpcd</w:t>
      </w:r>
      <w:proofErr w:type="spellEnd"/>
      <w:r>
        <w:t xml:space="preserve"> benchmark fails to account for </w:t>
      </w:r>
      <w:proofErr w:type="gramStart"/>
      <w:r>
        <w:t>many heterogeneities</w:t>
      </w:r>
      <w:proofErr w:type="gramEnd"/>
      <w:r>
        <w:t xml:space="preserve"> that are unrelated to conservation effort:</w:t>
      </w:r>
      <w:r w:rsidRPr="004501A8">
        <w:rPr>
          <w:rStyle w:val="EndnoteReference"/>
          <w:rFonts w:eastAsia="Times New Roman"/>
          <w:szCs w:val="24"/>
        </w:rPr>
        <w:endnoteReference w:id="35"/>
      </w:r>
    </w:p>
    <w:p w14:paraId="5E67A999" w14:textId="77777777" w:rsidR="001C3523" w:rsidRDefault="001C3523" w:rsidP="001C3523">
      <w:pPr>
        <w:ind w:left="360"/>
      </w:pPr>
      <w:r w:rsidRPr="00200DD2">
        <w:rPr>
          <w:i/>
        </w:rPr>
        <w:t>Weather:</w:t>
      </w:r>
      <w:r>
        <w:t xml:space="preserve"> Agencies in hotter, dryer areas consume more water per capita for landscape irrigation.</w:t>
      </w:r>
    </w:p>
    <w:p w14:paraId="49E238D2" w14:textId="77777777" w:rsidR="001C3523" w:rsidRDefault="001C3523" w:rsidP="001C3523">
      <w:pPr>
        <w:ind w:left="360"/>
      </w:pPr>
      <w:r>
        <w:rPr>
          <w:i/>
        </w:rPr>
        <w:lastRenderedPageBreak/>
        <w:t>Population density and land use</w:t>
      </w:r>
      <w:r w:rsidRPr="00200DD2">
        <w:rPr>
          <w:i/>
        </w:rPr>
        <w:t>:</w:t>
      </w:r>
      <w:r>
        <w:t xml:space="preserve"> Agencies with lower population densities consume more water per capita for landscape irrigation.</w:t>
      </w:r>
    </w:p>
    <w:p w14:paraId="06AAB78B" w14:textId="77777777" w:rsidR="001C3523" w:rsidRDefault="001C3523" w:rsidP="001C3523">
      <w:pPr>
        <w:ind w:left="360"/>
      </w:pPr>
      <w:r w:rsidRPr="00200DD2">
        <w:rPr>
          <w:i/>
        </w:rPr>
        <w:t>Socioeconomic factors:</w:t>
      </w:r>
      <w:r>
        <w:t xml:space="preserve"> Agencies with more affluent populations and larger lot sizes consume more water per capita for landscape irrigation.</w:t>
      </w:r>
    </w:p>
    <w:p w14:paraId="5E500E82" w14:textId="77777777" w:rsidR="001C3523" w:rsidRDefault="001C3523" w:rsidP="001C3523">
      <w:pPr>
        <w:ind w:left="360"/>
      </w:pPr>
      <w:r w:rsidRPr="00200DD2">
        <w:rPr>
          <w:i/>
        </w:rPr>
        <w:t xml:space="preserve">Sector </w:t>
      </w:r>
      <w:r>
        <w:rPr>
          <w:i/>
        </w:rPr>
        <w:t>mix</w:t>
      </w:r>
      <w:r w:rsidRPr="00200DD2">
        <w:rPr>
          <w:i/>
        </w:rPr>
        <w:t>:</w:t>
      </w:r>
      <w:r>
        <w:t xml:space="preserve"> Agencies with more industrial and agricultural users consume more water per capita.</w:t>
      </w:r>
    </w:p>
    <w:p w14:paraId="39C9F846" w14:textId="14466B73" w:rsidR="00453842" w:rsidRDefault="001C3523" w:rsidP="00453842">
      <w:pPr>
        <w:ind w:left="360"/>
      </w:pPr>
      <w:r>
        <w:rPr>
          <w:i/>
        </w:rPr>
        <w:t xml:space="preserve">Retail water pricing: </w:t>
      </w:r>
      <w:r>
        <w:t>Agencies with lower retail prices consume more water per capita. (Although retail pricing might be considered an element of conservation effort, in practice agencies are limited in their ability to raise prices by state laws such as Prop 218).</w:t>
      </w:r>
    </w:p>
    <w:p w14:paraId="6C94E255" w14:textId="2FE0087D" w:rsidR="00453842" w:rsidRPr="00453842" w:rsidRDefault="00453842" w:rsidP="00453842">
      <w:r>
        <w:t xml:space="preserve">Allocating water using a uniform benchmark like </w:t>
      </w:r>
      <w:proofErr w:type="spellStart"/>
      <w:r>
        <w:t>gpcd</w:t>
      </w:r>
      <w:proofErr w:type="spellEnd"/>
      <w:r>
        <w:t xml:space="preserve"> establishes an efficiency target for member agencies, eliminating some of the political and social inequities inherent in other forms of allocation. However</w:t>
      </w:r>
      <w:r w:rsidR="001E3F44">
        <w:t>, a uniformly applied</w:t>
      </w:r>
      <w:r>
        <w:t xml:space="preserve"> </w:t>
      </w:r>
      <w:proofErr w:type="spellStart"/>
      <w:r>
        <w:t>gpcd</w:t>
      </w:r>
      <w:proofErr w:type="spellEnd"/>
      <w:r>
        <w:t xml:space="preserve"> target provides little flexibility and does not account for heterogeneous water use among different sectors of users. We found that this system would give surpluses to older,</w:t>
      </w:r>
      <w:r w:rsidR="001E3F44">
        <w:t xml:space="preserve"> more urbanized cities, while ex</w:t>
      </w:r>
      <w:r>
        <w:t>urban outlying areas would have deficits (</w:t>
      </w:r>
      <w:r w:rsidR="00DC1192">
        <w:fldChar w:fldCharType="begin"/>
      </w:r>
      <w:r w:rsidR="00DC1192">
        <w:instrText xml:space="preserve"> REF _Ref286081076 \h </w:instrText>
      </w:r>
      <w:r w:rsidR="00DC1192">
        <w:fldChar w:fldCharType="separate"/>
      </w:r>
      <w:r w:rsidR="00DC1192" w:rsidRPr="00BC7F03">
        <w:t xml:space="preserve">Table </w:t>
      </w:r>
      <w:r w:rsidR="00DC1192" w:rsidRPr="00BC7F03">
        <w:rPr>
          <w:noProof/>
        </w:rPr>
        <w:t>10</w:t>
      </w:r>
      <w:r w:rsidR="00DC1192" w:rsidRPr="00BC7F03">
        <w:noBreakHyphen/>
      </w:r>
      <w:r w:rsidR="00DC1192" w:rsidRPr="00BC7F03">
        <w:rPr>
          <w:noProof/>
        </w:rPr>
        <w:t>3</w:t>
      </w:r>
      <w:r w:rsidR="00DC1192">
        <w:fldChar w:fldCharType="end"/>
      </w:r>
      <w:r>
        <w:t>).</w:t>
      </w:r>
    </w:p>
    <w:p w14:paraId="60EF82F8" w14:textId="719B7B85" w:rsidR="002576F6" w:rsidRDefault="001E3F44" w:rsidP="002D77DE">
      <w:r>
        <w:t>Due to time and data availability constraints, o</w:t>
      </w:r>
      <w:r w:rsidR="001C3523">
        <w:t xml:space="preserve">ur </w:t>
      </w:r>
      <w:proofErr w:type="spellStart"/>
      <w:r w:rsidR="001C3523">
        <w:t>g</w:t>
      </w:r>
      <w:r>
        <w:t>pcd</w:t>
      </w:r>
      <w:proofErr w:type="spellEnd"/>
      <w:r>
        <w:t xml:space="preserve"> allocation example does not address </w:t>
      </w:r>
      <w:r w:rsidR="001F430C">
        <w:t>agency heterogeneities</w:t>
      </w:r>
      <w:r w:rsidR="001C3523">
        <w:t xml:space="preserve">. Yet, we fully recognize the distributional effects that a uniform </w:t>
      </w:r>
      <w:proofErr w:type="spellStart"/>
      <w:r w:rsidR="001C3523">
        <w:t>gpcd</w:t>
      </w:r>
      <w:proofErr w:type="spellEnd"/>
      <w:r>
        <w:t xml:space="preserve"> benchmark could have</w:t>
      </w:r>
      <w:r w:rsidR="001C3523">
        <w:t xml:space="preserve">, particularly for those that have industry or agriculture that inherently uses more water by necessity. A more politically feasible </w:t>
      </w:r>
      <w:proofErr w:type="spellStart"/>
      <w:r w:rsidR="001C3523">
        <w:t>gpcd</w:t>
      </w:r>
      <w:proofErr w:type="spellEnd"/>
      <w:r w:rsidR="001C3523">
        <w:t xml:space="preserve">-based allocation might include </w:t>
      </w:r>
      <w:proofErr w:type="spellStart"/>
      <w:r w:rsidR="001C3523">
        <w:t>gpcd</w:t>
      </w:r>
      <w:proofErr w:type="spellEnd"/>
      <w:r w:rsidR="001C3523">
        <w:t xml:space="preserve"> benchmarks for different sectors (industrial, commercial, agricultural, high/low-density residential) and then adjust an agency’s allocation based on its individual mix of sectors, possibly also including weather and pricing factors. However, such an exercise, if taken too far, could easily lead back to a complicated need-based system of credits and adjustments, much like the WSAP. We believe that a balance should be struck between the simplicity, elegance, and perceived fairness of a single uniform benchmark, and the reality of heterogeneous ag</w:t>
      </w:r>
      <w:r w:rsidR="001F430C">
        <w:t>encies</w:t>
      </w:r>
      <w:r w:rsidR="00DC1192">
        <w:t xml:space="preserve">. Our </w:t>
      </w:r>
      <w:proofErr w:type="spellStart"/>
      <w:r w:rsidR="00DC1192">
        <w:t>BrenSAP</w:t>
      </w:r>
      <w:proofErr w:type="spellEnd"/>
      <w:r w:rsidR="00DC1192">
        <w:t xml:space="preserve"> allocation </w:t>
      </w:r>
      <w:r w:rsidR="001C3523">
        <w:t>aims to achieve that balance.</w:t>
      </w:r>
    </w:p>
    <w:sectPr w:rsidR="002576F6" w:rsidSect="00C655BD">
      <w:footerReference w:type="default" r:id="rId47"/>
      <w:endnotePr>
        <w:numFmt w:val="decimal"/>
      </w:endnotePr>
      <w:pgSz w:w="12240" w:h="15840"/>
      <w:pgMar w:top="1800" w:right="1800" w:bottom="1800" w:left="216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3122CC" w14:textId="77777777" w:rsidR="001E3F44" w:rsidRDefault="001E3F44" w:rsidP="007B6ECE">
      <w:pPr>
        <w:spacing w:line="240" w:lineRule="auto"/>
      </w:pPr>
      <w:r>
        <w:separator/>
      </w:r>
    </w:p>
  </w:endnote>
  <w:endnote w:type="continuationSeparator" w:id="0">
    <w:p w14:paraId="1AB8AFD0" w14:textId="77777777" w:rsidR="001E3F44" w:rsidRDefault="001E3F44" w:rsidP="007B6ECE">
      <w:pPr>
        <w:spacing w:line="240" w:lineRule="auto"/>
      </w:pPr>
      <w:r>
        <w:continuationSeparator/>
      </w:r>
    </w:p>
  </w:endnote>
  <w:endnote w:id="1">
    <w:p w14:paraId="633F43A5" w14:textId="6792F0A5" w:rsidR="001E3F44" w:rsidRDefault="001E3F44" w:rsidP="009E1695">
      <w:pPr>
        <w:pStyle w:val="EndnoteText"/>
      </w:pPr>
      <w:r>
        <w:rPr>
          <w:rStyle w:val="EndnoteReference"/>
        </w:rPr>
        <w:endnoteRef/>
      </w:r>
      <w:r>
        <w:t xml:space="preserve"> </w:t>
      </w:r>
      <w:r w:rsidRPr="00657215">
        <w:fldChar w:fldCharType="begin"/>
      </w:r>
      <w:r>
        <w:instrText xml:space="preserve"> ADDIN ZOTERO_ITEM CSL_CITATION {"citationID":"J0jkDxLI","properties":{"formattedCitation":"{\\rtf \\uc0\\u8220{}Governor Brown Declares Drought State of Emergency,\\uc0\\u8221{} \\i Office of Governor Edmund G. Brown Jr.\\i0{}, January 17, 2014, http://gov.ca.gov/news.php?id=18379.}","plainCitation":"“Governor Brown Declares Drought State of Emergency,” Office of Governor Edmund G. Brown Jr., January 17, 2014, http://gov.ca.gov/news.php?id=18379."},"citationItems":[{"id":1316,"uris":["http://zotero.org/groups/257506/items/AQ6P39B5"],"uri":["http://zotero.org/groups/257506/items/AQ6P39B5"],"itemData":{"id":1316,"type":"article-newspaper","title":"Governor Brown declares drought state of emergency","container-title":"Office of Governor Edmund G. Brown Jr.","abstract":"Governor Brown Declares Drought State of Emergency","URL":"http://gov.ca.gov/news.php?id=18379","issued":{"date-parts":[["2014",1,17]]},"accessed":{"date-parts":[["2015",2,16]]}}}],"schema":"https://github.com/citation-style-language/schema/raw/master/csl-citation.json"} </w:instrText>
      </w:r>
      <w:r w:rsidRPr="00657215">
        <w:fldChar w:fldCharType="separate"/>
      </w:r>
      <w:r w:rsidRPr="00657215">
        <w:t>“Governor Brown Declares Drought State of Emergency,” Office of Governor Edmund G. Brown Jr., January 17, 2014, http://gov.ca.gov/news.php?id=18379.</w:t>
      </w:r>
      <w:r w:rsidRPr="00657215">
        <w:fldChar w:fldCharType="end"/>
      </w:r>
    </w:p>
  </w:endnote>
  <w:endnote w:id="2">
    <w:p w14:paraId="48D8947B" w14:textId="6CC7F1E4" w:rsidR="001E3F44" w:rsidRDefault="001E3F44">
      <w:pPr>
        <w:pStyle w:val="EndnoteText"/>
      </w:pPr>
      <w:r>
        <w:rPr>
          <w:rStyle w:val="EndnoteReference"/>
        </w:rPr>
        <w:endnoteRef/>
      </w:r>
      <w:r>
        <w:t xml:space="preserve"> </w:t>
      </w:r>
      <w:r>
        <w:fldChar w:fldCharType="begin"/>
      </w:r>
      <w:r>
        <w:instrText xml:space="preserve"> ADDIN ZOTERO_ITEM CSL_CITATION {"citationID":"2Oo6PxGk","properties":{"formattedCitation":"{\\rtf \\uc0\\u8220{}California Officials Admit They Have Incomplete Water Usage Data,\\uc0\\u8221{} \\i Los Angeles Times\\i0{}, accessed February 16, 2015, http://www.latimes.com/local/la-me-water-use-war-20140727-story.html.}","plainCitation":"“California Officials Admit They Have Incomplete Water Usage Data,” Los Angeles Times, accessed February 16, 2015, http://www.latimes.com/local/la-me-water-use-war-20140727-story.html."},"citationItems":[{"id":1318,"uris":["http://zotero.org/groups/257506/items/QE75XVU7"],"uri":["http://zotero.org/groups/257506/items/QE75XVU7"],"itemData":{"id":1318,"type":"article-newspaper","title":"California officials admit they have incomplete water usage data","container-title":"Los Angeles Times","source":"LA Times","URL":"http://www.latimes.com/local/la-me-water-use-war-20140727-story.html","ISSN":"0458-3035","language":"en-US","accessed":{"date-parts":[["2015",2,16]]}}}],"schema":"https://github.com/citation-style-language/schema/raw/master/csl-citation.json"} </w:instrText>
      </w:r>
      <w:r>
        <w:fldChar w:fldCharType="separate"/>
      </w:r>
      <w:r w:rsidRPr="003D4A87">
        <w:t xml:space="preserve">“California Officials Admit They Have Incomplete Water Usage Data,” </w:t>
      </w:r>
      <w:r w:rsidRPr="003D4A87">
        <w:rPr>
          <w:i/>
          <w:iCs/>
        </w:rPr>
        <w:t>Los Angeles Times</w:t>
      </w:r>
      <w:r w:rsidRPr="003D4A87">
        <w:t>, accessed February 16, 2015, http://www.latimes.com/local/la-me-water-use-war-20140727-story.html.</w:t>
      </w:r>
      <w:r>
        <w:fldChar w:fldCharType="end"/>
      </w:r>
    </w:p>
  </w:endnote>
  <w:endnote w:id="3">
    <w:p w14:paraId="212FA8FA" w14:textId="3FE2443E" w:rsidR="001E3F44" w:rsidRDefault="001E3F44">
      <w:pPr>
        <w:pStyle w:val="EndnoteText"/>
      </w:pPr>
      <w:r>
        <w:rPr>
          <w:rStyle w:val="EndnoteReference"/>
        </w:rPr>
        <w:endnoteRef/>
      </w:r>
      <w:r>
        <w:t xml:space="preserve"> </w:t>
      </w:r>
      <w:r>
        <w:fldChar w:fldCharType="begin"/>
      </w:r>
      <w:r>
        <w:instrText xml:space="preserve"> ADDIN ZOTERO_ITEM CSL_CITATION {"citationID":"qqhroxpB","properties":{"formattedCitation":"{\\rtf \\uc0\\u8220{}State Water Board Approves Emergency Regulation to Ensure Agencies and State Residents Increase Water Conservation,\\uc0\\u8221{} \\i State Water Resources Control Board\\i0{}, July 15, 2014, http://www.waterboards.ca.gov/press_room/press_releases/2014/pr071514.pdf.}","plainCitation":"“State Water Board Approves Emergency Regulation to Ensure Agencies and State Residents Increase Water Conservation,” State Water Resources Control Board, July 15, 2014, http://www.waterboards.ca.gov/press_room/press_releases/2014/pr071514.pdf."},"citationItems":[{"id":1315,"uris":["http://zotero.org/groups/257506/items/9CXERKKV"],"uri":["http://zotero.org/groups/257506/items/9CXERKKV"],"itemData":{"id":1315,"type":"article-newspaper","title":"State Water Board Approves Emergency Regulation to Ensure Agencies and State Residents Increase Water Conservation","container-title":"State Water Resources Control Board","URL":"http://www.waterboards.ca.gov/press_room/press_releases/2014/pr071514.pdf","issued":{"date-parts":[["2014",7,15]]},"accessed":{"date-parts":[["2015",2,16]]}}}],"schema":"https://github.com/citation-style-language/schema/raw/master/csl-citation.json"} </w:instrText>
      </w:r>
      <w:r>
        <w:fldChar w:fldCharType="separate"/>
      </w:r>
      <w:r w:rsidRPr="003D4A87">
        <w:t xml:space="preserve">“State Water Board Approves Emergency Regulation to Ensure Agencies and State Residents Increase Water Conservation,” </w:t>
      </w:r>
      <w:r w:rsidRPr="003D4A87">
        <w:rPr>
          <w:i/>
          <w:iCs/>
        </w:rPr>
        <w:t>State Water Resources Control Board</w:t>
      </w:r>
      <w:r w:rsidRPr="003D4A87">
        <w:t>, July 15, 2014, http://www.waterboards.ca.gov/press_room/press_releases/2014/pr071514.pdf.</w:t>
      </w:r>
      <w:r>
        <w:fldChar w:fldCharType="end"/>
      </w:r>
    </w:p>
  </w:endnote>
  <w:endnote w:id="4">
    <w:p w14:paraId="1B2408A4" w14:textId="5C8084BE" w:rsidR="001E3F44" w:rsidRDefault="001E3F44">
      <w:pPr>
        <w:pStyle w:val="EndnoteText"/>
      </w:pPr>
      <w:r>
        <w:rPr>
          <w:rStyle w:val="EndnoteReference"/>
        </w:rPr>
        <w:endnoteRef/>
      </w:r>
      <w:r>
        <w:t xml:space="preserve"> </w:t>
      </w:r>
      <w:r>
        <w:fldChar w:fldCharType="begin"/>
      </w:r>
      <w:r>
        <w:instrText xml:space="preserve"> ADDIN ZOTERO_ITEM CSL_CITATION {"citationID":"oDnkyKUo","properties":{"formattedCitation":"{\\rtf Jonathan Lloyd, \\uc0\\u8220{}California Meets Water-Use Goal for First Time,\\uc0\\u8221{} \\i NBC News\\i0{}, February 3, 2015, http://www.nbcbayarea.com/news/local/California-Water-Use-Conservation-Drought-290642631.html.}","plainCitation":"Jonathan Lloyd, “California Meets Water-Use Goal for First Time,” NBC News, February 3, 2015, http://www.nbcbayarea.com/news/local/California-Water-Use-Conservation-Drought-290642631.html."},"citationItems":[{"id":1308,"uris":["http://zotero.org/groups/257506/items/CX85727G"],"uri":["http://zotero.org/groups/257506/items/CX85727G"],"itemData":{"id":1308,"type":"article-newspaper","title":"California Meets Water-Use Goal for First Time","container-title":"NBC News","abstract":"The state's monthly water-use report card released Tuesday shows that Californians have met the state's 20-percent water-use reduction goal for the first time.","URL":"http://www.nbcbayarea.com/news/local/California-Water-Use-Conservation-Drought-290642631.html","author":[{"family":"Lloyd","given":"Jonathan"}],"issued":{"date-parts":[["2015",2,3]]},"accessed":{"date-parts":[["2015",2,4]]}}}],"schema":"https://github.com/citation-style-language/schema/raw/master/csl-citation.json"} </w:instrText>
      </w:r>
      <w:r>
        <w:fldChar w:fldCharType="separate"/>
      </w:r>
      <w:r w:rsidRPr="005657BC">
        <w:t xml:space="preserve">Jonathan Lloyd, “California Meets Water-Use Goal for First Time,” </w:t>
      </w:r>
      <w:r w:rsidRPr="005657BC">
        <w:rPr>
          <w:i/>
          <w:iCs/>
        </w:rPr>
        <w:t>NBC News</w:t>
      </w:r>
      <w:r w:rsidRPr="005657BC">
        <w:t>, February 3, 2015, http://www.nbcbayarea.com/news/local/California-Water-Use-Conservation-Drought-290642631.html.</w:t>
      </w:r>
      <w:r>
        <w:fldChar w:fldCharType="end"/>
      </w:r>
    </w:p>
  </w:endnote>
  <w:endnote w:id="5">
    <w:p w14:paraId="7C849CC1" w14:textId="040F0027" w:rsidR="001E3F44" w:rsidRDefault="001E3F44" w:rsidP="00A42A4B">
      <w:pPr>
        <w:pStyle w:val="EndnoteText"/>
      </w:pPr>
      <w:r>
        <w:rPr>
          <w:rStyle w:val="EndnoteReference"/>
        </w:rPr>
        <w:endnoteRef/>
      </w:r>
      <w:r>
        <w:t xml:space="preserve"> </w:t>
      </w:r>
      <w:r w:rsidRPr="00A42A4B">
        <w:fldChar w:fldCharType="begin"/>
      </w:r>
      <w:r>
        <w:instrText xml:space="preserve"> ADDIN ZOTERO_ITEM CSL_CITATION {"citationID":"WQRvTkCE","properties":{"formattedCitation":"{\\rtf \\uc0\\u8220{}United States Drought Monitor,\\uc0\\u8221{} \\i National Drought Mitigation Center\\i0{}, January 15, 2015, http://droughtmonitor.unl.edu/.}","plainCitation":"“United States Drought Monitor,” National Drought Mitigation Center, January 15, 2015, http://droughtmonitor.unl.edu/."},"citationItems":[{"id":1317,"uris":["http://zotero.org/groups/257506/items/EVW8IWJW"],"uri":["http://zotero.org/groups/257506/items/EVW8IWJW"],"itemData":{"id":1317,"type":"webpage","title":"United States Drought Monitor","container-title":"National Drought Mitigation Center","URL":"http://droughtmonitor.unl.edu/","issued":{"date-parts":[["2015",1,15]]},"accessed":{"date-parts":[["2015",2,16]]}}}],"schema":"https://github.com/citation-style-language/schema/raw/master/csl-citation.json"} </w:instrText>
      </w:r>
      <w:r w:rsidRPr="00A42A4B">
        <w:fldChar w:fldCharType="separate"/>
      </w:r>
      <w:r w:rsidRPr="00A42A4B">
        <w:t>“United States Drought Monitor,” National Drought Mitigation Center, January 15, 2015, http://droughtmonitor.unl.edu/.</w:t>
      </w:r>
      <w:r w:rsidRPr="00A42A4B">
        <w:fldChar w:fldCharType="end"/>
      </w:r>
    </w:p>
  </w:endnote>
  <w:endnote w:id="6">
    <w:p w14:paraId="58524B6B" w14:textId="1D26EBF5" w:rsidR="001E3F44" w:rsidRDefault="001E3F44">
      <w:pPr>
        <w:pStyle w:val="EndnoteText"/>
      </w:pPr>
      <w:r>
        <w:rPr>
          <w:rStyle w:val="EndnoteReference"/>
        </w:rPr>
        <w:endnoteRef/>
      </w:r>
      <w:r>
        <w:t xml:space="preserve"> </w:t>
      </w:r>
      <w:r>
        <w:fldChar w:fldCharType="begin"/>
      </w:r>
      <w:r>
        <w:instrText xml:space="preserve"> ADDIN ZOTERO_ITEM CSL_CITATION {"citationID":"25cvcRC8","properties":{"formattedCitation":"{\\rtf \\i Managing an Uncertain Future: Climate Change Adaptation Strategies for California\\uc0\\u8217{}s Water\\i0{} (California Department of Water Resources, October 2008), http://www.water.ca.gov/climatechange/docs/ClimateChangeWhitePaper.pdf.}","plainCitation":"Managing an Uncertain Future: Climate Change Adaptation Strategies for California’s Water (California Department of Water Resources, October 2008), http://www.water.ca.gov/climatechange/docs/ClimateChangeWhitePaper.pdf."},"citationItems":[{"id":1280,"uris":["http://zotero.org/groups/257506/items/6HJU754U"],"uri":["http://zotero.org/groups/257506/items/6HJU754U"],"itemData":{"id":1280,"type":"report","title":"Managing an Uncertain Future: Climate Change Adaptation Strategies for California's Water","publisher":"California Department of Water Resources","URL":"http://www.water.ca.gov/climatechange/docs/ClimateChangeWhitePaper.pdf","issued":{"date-parts":[["2008",10]]},"accessed":{"date-parts":[["2015",2,21]]}}}],"schema":"https://github.com/citation-style-language/schema/raw/master/csl-citation.json"} </w:instrText>
      </w:r>
      <w:r>
        <w:fldChar w:fldCharType="separate"/>
      </w:r>
      <w:r w:rsidRPr="002C2D2B">
        <w:rPr>
          <w:i/>
          <w:iCs/>
        </w:rPr>
        <w:t>Managing an Uncertain Future: Climate Change Adaptation Strategies for California’s Water</w:t>
      </w:r>
      <w:r w:rsidRPr="002C2D2B">
        <w:t xml:space="preserve"> (California Department of Water Resources, October 2008), http://www.water.ca.gov/climatechange/docs/ClimateChangeWhitePaper.pdf.</w:t>
      </w:r>
      <w:r>
        <w:fldChar w:fldCharType="end"/>
      </w:r>
    </w:p>
  </w:endnote>
  <w:endnote w:id="7">
    <w:p w14:paraId="11E22E8A" w14:textId="391A61D2" w:rsidR="001E3F44" w:rsidRDefault="001E3F44">
      <w:pPr>
        <w:pStyle w:val="EndnoteText"/>
      </w:pPr>
      <w:r>
        <w:rPr>
          <w:rStyle w:val="EndnoteReference"/>
        </w:rPr>
        <w:endnoteRef/>
      </w:r>
      <w:r>
        <w:t xml:space="preserve"> </w:t>
      </w:r>
      <w:r>
        <w:fldChar w:fldCharType="begin"/>
      </w:r>
      <w:r>
        <w:instrText xml:space="preserve"> ADDIN ZOTERO_ITEM CSL_CITATION {"citationID":"sOK8srcK","properties":{"formattedCitation":"{\\rtf Dennis O\\uc0\\u8217{}Connor, \\i The Governance of the Metropolitan Water District of Southern California: An Overview of the Issues\\i0{} (California Research Bureau, August 1998), https://www.library.ca.gov/crb/98/13/98013.pdf.}","plainCitation":"Dennis O’Connor, The Governance of the Metropolitan Water District of Southern California: An Overview of the Issues (California Research Bureau, August 1998), https://www.library.ca.gov/crb/98/13/98013.pdf."},"citationItems":[{"id":510,"uris":["http://zotero.org/groups/257506/items/4CKNV8CJ"],"uri":["http://zotero.org/groups/257506/items/4CKNV8CJ"],"itemData":{"id":510,"type":"report","title":"The Governance of the Metropolitan Water District of Southern California: An Overview of the Issues","publisher":"California Research Bureau","URL":"https://www.library.ca.gov/crb/98/13/98013.pdf","author":[{"family":"O'Connor","given":"Dennis"}],"issued":{"date-parts":[["1998",8]]}}}],"schema":"https://github.com/citation-style-language/schema/raw/master/csl-citation.json"} </w:instrText>
      </w:r>
      <w:r>
        <w:fldChar w:fldCharType="separate"/>
      </w:r>
      <w:r w:rsidRPr="00704104">
        <w:t xml:space="preserve">Dennis O’Connor, </w:t>
      </w:r>
      <w:r w:rsidRPr="00704104">
        <w:rPr>
          <w:i/>
          <w:iCs/>
        </w:rPr>
        <w:t>The Governance of the Metropolitan Water District of Southern California: An Overview of the Issues</w:t>
      </w:r>
      <w:r w:rsidRPr="00704104">
        <w:t xml:space="preserve"> (California Research Bureau, August 1998), https://www.library.ca.gov/crb/98/13/98013.pdf.</w:t>
      </w:r>
      <w:r>
        <w:fldChar w:fldCharType="end"/>
      </w:r>
    </w:p>
  </w:endnote>
  <w:endnote w:id="8">
    <w:p w14:paraId="0CD62E36" w14:textId="4334E8CB" w:rsidR="001E3F44" w:rsidRDefault="001E3F44">
      <w:pPr>
        <w:pStyle w:val="EndnoteText"/>
      </w:pPr>
      <w:r>
        <w:rPr>
          <w:rStyle w:val="EndnoteReference"/>
        </w:rPr>
        <w:endnoteRef/>
      </w:r>
      <w:r>
        <w:t xml:space="preserve"> </w:t>
      </w:r>
      <w:r w:rsidRPr="00AA6B2A">
        <w:fldChar w:fldCharType="begin"/>
      </w:r>
      <w:r>
        <w:instrText xml:space="preserve"> ADDIN ZOTERO_ITEM CSL_CITATION {"citationID":"XsFhfXSN","properties":{"formattedCitation":"{\\rtf \\i MWD Water Surplus and Drought Management Plan\\i0{} (Metropolitan Water District of Southern California, 1999), http://www.mwdh2o.com/mwdh2o/pages/yourwater/WSDM_Report1150.pdf.}","plainCitation":"MWD Water Surplus and Drought Management Plan (Metropolitan Water District of Southern California, 1999), http://www.mwdh2o.com/mwdh2o/pages/yourwater/WSDM_Report1150.pdf."},"citationItems":[{"id":546,"uris":["http://zotero.org/groups/257506/items/IMMNNDNA"],"uri":["http://zotero.org/groups/257506/items/IMMNNDNA"],"itemData":{"id":546,"type":"report","title":"MWD Water Surplus and Drought Management Plan","publisher":"Metropolitan Water District of Southern California","URL":"http://www.mwdh2o.com/mwdh2o/pages/yourwater/WSDM_Report1150.pdf","issued":{"date-parts":[["1999"]]},"accessed":{"date-parts":[["2014",4,18]]}}}],"schema":"https://github.com/citation-style-language/schema/raw/master/csl-citation.json"} </w:instrText>
      </w:r>
      <w:r w:rsidRPr="00AA6B2A">
        <w:fldChar w:fldCharType="separate"/>
      </w:r>
      <w:r w:rsidRPr="00AA6B2A">
        <w:t>MWD Water Surplus and Drought Management Plan (Metropolitan Water District of Southern California, 1999), http://www.mwdh2o.com/mwdh2o/pages/yourwater/WSDM_Report1150.pdf.</w:t>
      </w:r>
      <w:r w:rsidRPr="00AA6B2A">
        <w:fldChar w:fldCharType="end"/>
      </w:r>
    </w:p>
  </w:endnote>
  <w:endnote w:id="9">
    <w:p w14:paraId="1F594E34" w14:textId="54A4E934" w:rsidR="001E3F44" w:rsidRDefault="001E3F44" w:rsidP="00AA6B2A">
      <w:pPr>
        <w:pStyle w:val="EndnoteText"/>
      </w:pPr>
      <w:r>
        <w:rPr>
          <w:rStyle w:val="EndnoteReference"/>
        </w:rPr>
        <w:endnoteRef/>
      </w:r>
      <w:r>
        <w:t xml:space="preserve"> </w:t>
      </w:r>
      <w:r w:rsidRPr="00AA6B2A">
        <w:fldChar w:fldCharType="begin"/>
      </w:r>
      <w:r>
        <w:instrText xml:space="preserve"> ADDIN ZOTERO_ITEM CSL_CITATION {"citationID":"xoLujXek","properties":{"formattedCitation":"{\\rtf \\uc0\\u8220{}Persistent Drought Conditions Could Compel Metropolitan to Limit Imported Water Supplies for Region This Summer.,\\uc0\\u8221{} \\i Metropolitan Water District of Southern California Press Release\\i0{}, February 9, 2015, http://www.mwdh2o.com/mwdh2o/pages/news/press_releases/2015-02/Allocation_scenarios_introduced.pdf.}","plainCitation":"“Persistent Drought Conditions Could Compel Metropolitan to Limit Imported Water Supplies for Region This Summer.,” Metropolitan Water District of Southern California Press Release, February 9, 2015, http://www.mwdh2o.com/mwdh2o/pages/news/press_releases/2015-02/Allocation_scenarios_introduced.pdf."},"citationItems":[{"id":1328,"uris":["http://zotero.org/groups/257506/items/PQBBMXCT"],"uri":["http://zotero.org/groups/257506/items/PQBBMXCT"],"itemData":{"id":1328,"type":"article-newspaper","title":"Persistent drought conditions could compel Metropolitan to limit imported water supplies for region this summer.","container-title":"Metropolitan Water District of Southern California press release","URL":"http://www.mwdh2o.com/mwdh2o/pages/news/press_releases/2015-02/Allocation_scenarios_introduced.pdf","issued":{"date-parts":[["2015",2,9]]},"accessed":{"date-parts":[["2015",2,21]]}}}],"schema":"https://github.com/citation-style-language/schema/raw/master/csl-citation.json"} </w:instrText>
      </w:r>
      <w:r w:rsidRPr="00AA6B2A">
        <w:fldChar w:fldCharType="separate"/>
      </w:r>
      <w:r w:rsidRPr="00AA6B2A">
        <w:t>“Persistent Drought Conditions Could Compel Metropolitan to Limit Imported Water Supplies for Region This Summer.,” Metropolitan Water District of Southern California Press Release, February 9, 2015, http://www.mwdh2o.com/mwdh2o/pages/news/press_releases/2015-02/Allocation_scenarios_introduced.pdf.</w:t>
      </w:r>
      <w:r w:rsidRPr="00AA6B2A">
        <w:fldChar w:fldCharType="end"/>
      </w:r>
    </w:p>
  </w:endnote>
  <w:endnote w:id="10">
    <w:p w14:paraId="6E8C2A19" w14:textId="3026E337" w:rsidR="001E3F44" w:rsidRDefault="001E3F44" w:rsidP="00915EDF">
      <w:pPr>
        <w:pStyle w:val="EndnoteText"/>
      </w:pPr>
      <w:r>
        <w:rPr>
          <w:rStyle w:val="EndnoteReference"/>
        </w:rPr>
        <w:endnoteRef/>
      </w:r>
      <w:r>
        <w:t xml:space="preserve"> For an overview of Met history with regard to preferential rights, see </w:t>
      </w:r>
      <w:r>
        <w:fldChar w:fldCharType="begin"/>
      </w:r>
      <w:r>
        <w:instrText xml:space="preserve"> ADDIN ZOTERO_ITEM CSL_CITATION {"citationID":"K1c5E3BG","properties":{"formattedCitation":"{\\rtf David Zetland, \\uc0\\u8220{}The End of Abundance: How Water Bureaucrats Created and Destroyed the Southern California Oasis,\\uc0\\u8221{} \\i Water Alternatives\\i0{} 2, no. 3 (2009): 350\\uc0\\u8211{}69.}","plainCitation":"David Zetland, “The End of Abundance: How Water Bureaucrats Created and Destroyed the Southern California Oasis,” Water Alternatives 2, no. 3 (2009): 350–69."},"citationItems":[{"id":700,"uris":["http://zotero.org/groups/257506/items/3R8V838I"],"uri":["http://zotero.org/groups/257506/items/3R8V838I"],"itemData":{"id":700,"type":"article-journal","title":"The End of Abundance: How Water Bureaucrats Created and Destroyed the Southern California Oasis","container-title":"Water Alternatives","page":"350-369","volume":"2","issue":"3","author":[{"family":"Zetland","given":"David"}],"issued":{"date-parts":[["2009"]]},"accessed":{"date-parts":[["2014",6,5]]}}}],"schema":"https://github.com/citation-style-language/schema/raw/master/csl-citation.json"} </w:instrText>
      </w:r>
      <w:r>
        <w:fldChar w:fldCharType="separate"/>
      </w:r>
      <w:r w:rsidRPr="005F6E78">
        <w:t xml:space="preserve">David Zetland, “The End of Abundance: How Water Bureaucrats Created and Destroyed the Southern California Oasis,” </w:t>
      </w:r>
      <w:r w:rsidRPr="005F6E78">
        <w:rPr>
          <w:i/>
          <w:iCs/>
        </w:rPr>
        <w:t>Water Alternatives</w:t>
      </w:r>
      <w:r w:rsidRPr="005F6E78">
        <w:t xml:space="preserve"> 2, no. 3 (2009): 350–69.</w:t>
      </w:r>
      <w:r>
        <w:fldChar w:fldCharType="end"/>
      </w:r>
      <w:r>
        <w:t xml:space="preserve"> </w:t>
      </w:r>
      <w:proofErr w:type="gramStart"/>
      <w:r>
        <w:t>and</w:t>
      </w:r>
      <w:proofErr w:type="gramEnd"/>
      <w:r>
        <w:t xml:space="preserve"> </w:t>
      </w:r>
      <w:r>
        <w:fldChar w:fldCharType="begin"/>
      </w:r>
      <w:r>
        <w:instrText xml:space="preserve"> ADDIN ZOTERO_ITEM CSL_CITATION {"citationID":"FG23sv3p","properties":{"formattedCitation":"{\\rtf Steven P Erie and Harold David Brackman, \\i Beyond Chinatown: The Metropolitan Water District, Growth, and the Environment in Southern California\\i0{} (Stanford: Stanford University Press, 2006).}","plainCitation":"Steven P Erie and Harold David Brackman, Beyond Chinatown: The Metropolitan Water District, Growth, and the Environment in Southern California (Stanford: Stanford University Press, 2006)."},"citationItems":[{"id":499,"uris":["http://zotero.org/groups/257506/items/PI5UT3PI"],"uri":["http://zotero.org/groups/257506/items/PI5UT3PI"],"itemData":{"id":499,"type":"book","title":"Beyond Chinatown: the Metropolitan Water District, growth, and the environment in southern California","publisher":"Stanford University Press","publisher-place":"Stanford","source":"Open WorldCat","event-place":"Stanford","abstract":"As urban growth outstrips water supplies, how can the global challenge of providing \"liquid gold\" be met? Mixing history and policy analysis, Erie tells the story of the Metropolitan Water District of Southern California (MWD)--one of the world's largest and most important public water agencies--and its role in building the world's eighth largest economy in a semi-desert. No tawdry tale of secret backroom conspiracies--as depicted in the famed film Chinatown--this telling concerns an unheralded regional institution, its entrepreneurial public leadership, and pioneering policymaking. Using untapped primary sources, the author re-examines this great regional experiment from its 1920s-era origins, through the Colorado River Aqueduct and State Water Projects, to today's daunting mission of drought management, water quality, environmental stewardship, and supply security. He concludes by considering MWD's Integrated Resources Plan as a global model for water-resources planning and management, water supply reliability, affordability, and environmental sustainability.--From publisher description.","ISBN":"0804751390  9780804751391  0804751404  9780804751407","shortTitle":"Beyond Chinatown","language":"English","author":[{"family":"Erie","given":"Steven P"},{"family":"Brackman","given":"Harold David"}],"issued":{"date-parts":[["2006"]]}}}],"schema":"https://github.com/citation-style-language/schema/raw/master/csl-citation.json"} </w:instrText>
      </w:r>
      <w:r>
        <w:fldChar w:fldCharType="separate"/>
      </w:r>
      <w:r w:rsidRPr="005F6E78">
        <w:t xml:space="preserve">Steven P Erie and Harold David Brackman, </w:t>
      </w:r>
      <w:r w:rsidRPr="005F6E78">
        <w:rPr>
          <w:i/>
          <w:iCs/>
        </w:rPr>
        <w:t>Beyond Chinatown: The Metropolitan Water District, Growth, and the Environment in Southern California</w:t>
      </w:r>
      <w:r w:rsidRPr="005F6E78">
        <w:t xml:space="preserve"> (Stanford: Stanford University Press, 2006).</w:t>
      </w:r>
      <w:r>
        <w:fldChar w:fldCharType="end"/>
      </w:r>
    </w:p>
  </w:endnote>
  <w:endnote w:id="11">
    <w:p w14:paraId="4D649E62" w14:textId="1BDB9D4E" w:rsidR="001E3F44" w:rsidRDefault="001E3F44">
      <w:pPr>
        <w:pStyle w:val="EndnoteText"/>
      </w:pPr>
      <w:r>
        <w:rPr>
          <w:rStyle w:val="EndnoteReference"/>
        </w:rPr>
        <w:endnoteRef/>
      </w:r>
      <w:r>
        <w:t xml:space="preserve"> </w:t>
      </w:r>
      <w:r>
        <w:fldChar w:fldCharType="begin"/>
      </w:r>
      <w:r>
        <w:instrText xml:space="preserve"> ADDIN ZOTERO_ITEM CSL_CITATION {"citationID":"dyXFwvHr","properties":{"formattedCitation":"{\\rtf Deborah Schoch, \\uc0\\u8220{}Drought Plan Opens Deep Rifts over Fairness,\\uc0\\u8221{} \\i Los Angeles Times\\i0{}, January 20, 2008, http://articles.latimes.com/2008/jan/20/local/me-water20.}","plainCitation":"Deborah Schoch, “Drought Plan Opens Deep Rifts over Fairness,” Los Angeles Times, January 20, 2008, http://articles.latimes.com/2008/jan/20/local/me-water20."},"citationItems":[{"id":1076,"uris":["http://zotero.org/groups/257506/items/G4U5TGQ7"],"uri":["http://zotero.org/groups/257506/items/G4U5TGQ7"],"itemData":{"id":1076,"type":"article-newspaper","title":"Drought plan opens deep rifts over fairness","container-title":"Los Angeles Times","source":"LA Times","abstract":"Foes say the MWD proposal slights small, older cities with less clout. Backers say it spreads the pain.","URL":"http://articles.latimes.com/2008/jan/20/local/me-water20","ISSN":"0458-3035","language":"en-US","author":[{"family":"Schoch","given":"Deborah"}],"issued":{"date-parts":[["2008",1,20]]},"accessed":{"date-parts":[["2014",11,17]]}}}],"schema":"https://github.com/citation-style-language/schema/raw/master/csl-citation.json"} </w:instrText>
      </w:r>
      <w:r>
        <w:fldChar w:fldCharType="separate"/>
      </w:r>
      <w:r w:rsidRPr="002476BB">
        <w:t xml:space="preserve">Deborah Schoch, “Drought Plan Opens Deep Rifts over Fairness,” </w:t>
      </w:r>
      <w:r w:rsidRPr="002476BB">
        <w:rPr>
          <w:i/>
          <w:iCs/>
        </w:rPr>
        <w:t>Los Angeles Times</w:t>
      </w:r>
      <w:r w:rsidRPr="002476BB">
        <w:t>, January 20, 2008, http://articles.latimes.com/2008/jan/20/local/me-water20.</w:t>
      </w:r>
      <w:r>
        <w:fldChar w:fldCharType="end"/>
      </w:r>
    </w:p>
  </w:endnote>
  <w:endnote w:id="12">
    <w:p w14:paraId="755053BB" w14:textId="510BDB2B" w:rsidR="001E3F44" w:rsidRDefault="001E3F44">
      <w:pPr>
        <w:pStyle w:val="EndnoteText"/>
      </w:pPr>
      <w:r>
        <w:rPr>
          <w:rStyle w:val="EndnoteReference"/>
        </w:rPr>
        <w:endnoteRef/>
      </w:r>
      <w:r>
        <w:t xml:space="preserve"> </w:t>
      </w:r>
      <w:r>
        <w:fldChar w:fldCharType="begin"/>
      </w:r>
      <w:r>
        <w:instrText xml:space="preserve"> ADDIN ZOTERO_ITEM CSL_CITATION {"citationID":"7F4H4iHf","properties":{"formattedCitation":"{\\rtf \\i News Release: Gearing up for More Drought, Metropolitan Water Board Revises Supply Allocation Plan, Also Adds $40 Million to Rebate Program\\i0{} (Metropolitan Water District of Southern California, December 9, 2014), http://www.mwdh2o.com/mwdh2o/pages/blog/8-21-14.html.}","plainCitation":"News Release: Gearing up for More Drought, Metropolitan Water Board Revises Supply Allocation Plan, Also Adds $40 Million to Rebate Program (Metropolitan Water District of Southern California, December 9, 2014), http://www.mwdh2o.com/mwdh2o/pages/blog/8-21-14.html."},"citationItems":[{"id":1078,"uris":["http://zotero.org/groups/257506/items/E9KT5W2C"],"uri":["http://zotero.org/groups/257506/items/E9KT5W2C"],"itemData":{"id":1078,"type":"report","title":"News Release: Gearing up for more drought, Metropolitan Water board revises Supply Allocation Plan, also adds $40 million to rebate program","publisher":"Metropolitan Water District of Southern California","URL":"http://www.mwdh2o.com/mwdh2o/pages/blog/8-21-14.html","issued":{"date-parts":[["2014",12,9]]},"accessed":{"date-parts":[["2014",11,18]]}}}],"schema":"https://github.com/citation-style-language/schema/raw/master/csl-citation.json"} </w:instrText>
      </w:r>
      <w:r>
        <w:fldChar w:fldCharType="separate"/>
      </w:r>
      <w:r w:rsidRPr="00D53967">
        <w:rPr>
          <w:i/>
          <w:iCs/>
        </w:rPr>
        <w:t>News Release: Gearing up for More Drought, Metropolitan Water Board Revises Supply Allocation Plan, Also Adds $40 Million to Rebate Program</w:t>
      </w:r>
      <w:r w:rsidRPr="00D53967">
        <w:t xml:space="preserve"> (Metropolitan Water District of Southern California, December 9, 2014), http://www.mwdh2o.com/mwdh2o/pages/blog/8-21-14.html.</w:t>
      </w:r>
      <w:r>
        <w:fldChar w:fldCharType="end"/>
      </w:r>
    </w:p>
  </w:endnote>
  <w:endnote w:id="13">
    <w:p w14:paraId="75DFF60C" w14:textId="3F266F21" w:rsidR="001E3F44" w:rsidRDefault="001E3F44">
      <w:pPr>
        <w:pStyle w:val="EndnoteText"/>
      </w:pPr>
      <w:r>
        <w:rPr>
          <w:rStyle w:val="EndnoteReference"/>
        </w:rPr>
        <w:endnoteRef/>
      </w:r>
      <w:r>
        <w:t xml:space="preserve"> </w:t>
      </w:r>
      <w:r>
        <w:fldChar w:fldCharType="begin"/>
      </w:r>
      <w:r>
        <w:instrText xml:space="preserve"> ADDIN ZOTERO_ITEM CSL_CITATION {"citationID":"5JVC1LM3","properties":{"formattedCitation":"{\\rtf \\uc0\\u8220{}Persistent Drought Conditions Could Compel Metropolitan to Limit Imported Water Supplies for Region This Summer.\\uc0\\u8221{}}","plainCitation":"“Persistent Drought Conditions Could Compel Metropolitan to Limit Imported Water Supplies for Region This Summer.”"},"citationItems":[{"id":1328,"uris":["http://zotero.org/groups/257506/items/PQBBMXCT"],"uri":["http://zotero.org/groups/257506/items/PQBBMXCT"],"itemData":{"id":1328,"type":"article-newspaper","title":"Persistent drought conditions could compel Metropolitan to limit imported water supplies for region this summer.","container-title":"Metropolitan Water District of Southern California press release","URL":"http://www.mwdh2o.com/mwdh2o/pages/news/press_releases/2015-02/Allocation_scenarios_introduced.pdf","issued":{"date-parts":[["2015",2,9]]},"accessed":{"date-parts":[["2015",2,21]]}}}],"schema":"https://github.com/citation-style-language/schema/raw/master/csl-citation.json"} </w:instrText>
      </w:r>
      <w:r>
        <w:fldChar w:fldCharType="separate"/>
      </w:r>
      <w:r w:rsidRPr="00AA6B2A">
        <w:t>“Persistent Drought Conditions Could Compel Metropolitan to Limit Imported Water Supplies for Region This Summer.”</w:t>
      </w:r>
      <w:r>
        <w:fldChar w:fldCharType="end"/>
      </w:r>
    </w:p>
  </w:endnote>
  <w:endnote w:id="14">
    <w:p w14:paraId="2741F12F" w14:textId="77777777" w:rsidR="001E3F44" w:rsidRDefault="001E3F44" w:rsidP="00020EEB">
      <w:pPr>
        <w:pStyle w:val="EndnoteText"/>
      </w:pPr>
      <w:r>
        <w:rPr>
          <w:rStyle w:val="EndnoteReference"/>
        </w:rPr>
        <w:endnoteRef/>
      </w:r>
      <w:r>
        <w:t xml:space="preserve"> </w:t>
      </w:r>
      <w:r>
        <w:fldChar w:fldCharType="begin"/>
      </w:r>
      <w:r>
        <w:instrText xml:space="preserve"> ADDIN ZOTERO_ITEM CSL_CITATION {"citationID":"7N4LVKeE","properties":{"formattedCitation":"{\\rtf \\i News Release: Gearing up for More Drought, Metropolitan Water Board Revises Supply Allocation Plan, Also Adds $40 Million to Rebate Program\\i0{}.}","plainCitation":"News Release: Gearing up for More Drought, Metropolitan Water Board Revises Supply Allocation Plan, Also Adds $40 Million to Rebate Program."},"citationItems":[{"id":1078,"uris":["http://zotero.org/groups/257506/items/E9KT5W2C"],"uri":["http://zotero.org/groups/257506/items/E9KT5W2C"],"itemData":{"id":1078,"type":"report","title":"News Release: Gearing up for more drought, Metropolitan Water board revises Supply Allocation Plan, also adds $40 million to rebate program","publisher":"Metropolitan Water District of Southern California","URL":"http://www.mwdh2o.com/mwdh2o/pages/blog/8-21-14.html","issued":{"date-parts":[["2014",12,9]]},"accessed":{"date-parts":[["2014",11,18]]}}}],"schema":"https://github.com/citation-style-language/schema/raw/master/csl-citation.json"} </w:instrText>
      </w:r>
      <w:r>
        <w:fldChar w:fldCharType="separate"/>
      </w:r>
      <w:r w:rsidRPr="00775BEF">
        <w:rPr>
          <w:i/>
          <w:iCs/>
        </w:rPr>
        <w:t>News Release: Gearing up for More Drought, Metropolitan Water Board Revises Supply Allocation Plan, Also Adds $40 Million to Rebate Program</w:t>
      </w:r>
      <w:r w:rsidRPr="00775BEF">
        <w:t>.</w:t>
      </w:r>
      <w:r>
        <w:fldChar w:fldCharType="end"/>
      </w:r>
    </w:p>
  </w:endnote>
  <w:endnote w:id="15">
    <w:p w14:paraId="4838993C" w14:textId="69B94E5C" w:rsidR="001E3F44" w:rsidRDefault="001E3F44" w:rsidP="00A42A4B">
      <w:pPr>
        <w:pStyle w:val="EndnoteText"/>
      </w:pPr>
      <w:r>
        <w:rPr>
          <w:rStyle w:val="EndnoteReference"/>
        </w:rPr>
        <w:endnoteRef/>
      </w:r>
      <w:r>
        <w:t xml:space="preserve"> </w:t>
      </w:r>
      <w:r w:rsidRPr="00A42A4B">
        <w:t>Water use data from 1977-2013 provided by Matt Lyons at the Long Beach Water Department.</w:t>
      </w:r>
    </w:p>
  </w:endnote>
  <w:endnote w:id="16">
    <w:p w14:paraId="627955EF" w14:textId="528954FF" w:rsidR="001E3F44" w:rsidRDefault="001E3F44">
      <w:pPr>
        <w:pStyle w:val="EndnoteText"/>
      </w:pPr>
      <w:r>
        <w:rPr>
          <w:rStyle w:val="EndnoteReference"/>
        </w:rPr>
        <w:endnoteRef/>
      </w:r>
      <w:r>
        <w:t xml:space="preserve"> </w:t>
      </w:r>
      <w:r>
        <w:fldChar w:fldCharType="begin"/>
      </w:r>
      <w:r>
        <w:instrText xml:space="preserve"> ADDIN ZOTERO_ITEM CSL_CITATION {"citationID":"IVzGXQPX","properties":{"formattedCitation":"{\\rtf Matthew Veeh, \\uc0\\u8220{}Long Beach July Water Use Lowest Since 1958,\\uc0\\u8221{} \\i Long Beach Water Department\\i0{}, August 1, 2014, http://lbwater.org/Long-Beach-July-Water-Use-Lowest-Since-1958.}","plainCitation":"Matthew Veeh, “Long Beach July Water Use Lowest Since 1958,” Long Beach Water Department, August 1, 2014, http://lbwater.org/Long-Beach-July-Water-Use-Lowest-Since-1958."},"citationItems":[{"id":1216,"uris":["http://zotero.org/groups/257506/items/2WQBIHF7"],"uri":["http://zotero.org/groups/257506/items/2WQBIHF7"],"itemData":{"id":1216,"type":"article-newspaper","title":"Long Beach July Water Use Lowest Since 1958","container-title":"Long Beach Water Department","URL":"http://lbwater.org/Long-Beach-July-Water-Use-Lowest-Since-1958","author":[{"family":"Veeh","given":"Matthew"}],"issued":{"date-parts":[["2014",8,1]]},"accessed":{"date-parts":[["2015",2,16]]}}}],"schema":"https://github.com/citation-style-language/schema/raw/master/csl-citation.json"} </w:instrText>
      </w:r>
      <w:r>
        <w:fldChar w:fldCharType="separate"/>
      </w:r>
      <w:r w:rsidRPr="00F6380D">
        <w:t xml:space="preserve">Matthew Veeh, “Long Beach July Water Use Lowest Since 1958,” </w:t>
      </w:r>
      <w:r w:rsidRPr="00F6380D">
        <w:rPr>
          <w:i/>
          <w:iCs/>
        </w:rPr>
        <w:t>Long Beach Water Department</w:t>
      </w:r>
      <w:r w:rsidRPr="00F6380D">
        <w:t>, August 1, 2014, http://lbwater.org/Long-Beach-July-Water-Use-Lowest-Since-1958.</w:t>
      </w:r>
      <w:r>
        <w:fldChar w:fldCharType="end"/>
      </w:r>
    </w:p>
  </w:endnote>
  <w:endnote w:id="17">
    <w:p w14:paraId="7C8E2D05" w14:textId="7973A0C4" w:rsidR="001E3F44" w:rsidRDefault="001E3F44">
      <w:pPr>
        <w:pStyle w:val="EndnoteText"/>
      </w:pPr>
      <w:r>
        <w:rPr>
          <w:rStyle w:val="EndnoteReference"/>
        </w:rPr>
        <w:endnoteRef/>
      </w:r>
      <w:r>
        <w:t xml:space="preserve"> </w:t>
      </w:r>
      <w:r>
        <w:fldChar w:fldCharType="begin"/>
      </w:r>
      <w:r>
        <w:instrText xml:space="preserve"> ADDIN ZOTERO_ITEM CSL_CITATION {"citationID":"BTW5cbvB","properties":{"formattedCitation":"{\\rtf Garrett Hardin, \\uc0\\u8220{}The Tragedy of the Commons,\\uc0\\u8221{} \\i Science\\i0{}, New Series, 162, no. 3859 (December 13, 1968): 1243\\uc0\\u8211{}48.}","plainCitation":"Garrett Hardin, “The Tragedy of the Commons,” Science, New Series, 162, no. 3859 (December 13, 1968): 1243–48."},"citationItems":[{"id":1222,"uris":["http://zotero.org/users/1391411/items/QMZ6K4W5"],"uri":["http://zotero.org/users/1391411/items/QMZ6K4W5"],"itemData":{"id":1222,"type":"article-journal","title":"The Tragedy of the Commons","container-title":"Science","collection-title":"New Series","page":"1243-1248","volume":"162","issue":"3859","author":[{"family":"Hardin","given":"Garrett"}],"issued":{"date-parts":[["1968",12,13]]},"accessed":{"date-parts":[["2015",1,12]],"season":"23:02:46"}}}],"schema":"https://github.com/citation-style-language/schema/raw/master/csl-citation.json"} </w:instrText>
      </w:r>
      <w:r>
        <w:fldChar w:fldCharType="separate"/>
      </w:r>
      <w:r w:rsidRPr="00CC2E68">
        <w:t xml:space="preserve">Garrett Hardin, “The Tragedy of the Commons,” </w:t>
      </w:r>
      <w:r w:rsidRPr="00CC2E68">
        <w:rPr>
          <w:i/>
          <w:iCs/>
        </w:rPr>
        <w:t>Science</w:t>
      </w:r>
      <w:r w:rsidRPr="00CC2E68">
        <w:t>, New Series, 162, no. 3859 (December 13, 1968): 1243–48.</w:t>
      </w:r>
      <w:r>
        <w:fldChar w:fldCharType="end"/>
      </w:r>
    </w:p>
  </w:endnote>
  <w:endnote w:id="18">
    <w:p w14:paraId="09973C5F" w14:textId="77777777" w:rsidR="001E3F44" w:rsidRDefault="001E3F44" w:rsidP="006A3664">
      <w:pPr>
        <w:pStyle w:val="EndnoteText"/>
      </w:pPr>
      <w:r>
        <w:rPr>
          <w:rStyle w:val="EndnoteReference"/>
        </w:rPr>
        <w:endnoteRef/>
      </w:r>
      <w:r>
        <w:t xml:space="preserve"> Even though these numbers may not be completely accurate, for the purposes of our analysis in analyzing the directionality of hypothetical changes, the absolute accuracy of the initial numbers was not necessary. All we needed was an approximate starting point from which to begin performing hypothetical scenario testing.  </w:t>
      </w:r>
    </w:p>
  </w:endnote>
  <w:endnote w:id="19">
    <w:p w14:paraId="09F3BE64" w14:textId="77777777" w:rsidR="001E3F44" w:rsidRDefault="001E3F44" w:rsidP="006A3664">
      <w:pPr>
        <w:pStyle w:val="EndnoteText"/>
      </w:pPr>
      <w:r>
        <w:rPr>
          <w:rStyle w:val="EndnoteReference"/>
        </w:rPr>
        <w:endnoteRef/>
      </w:r>
      <w:r>
        <w:t xml:space="preserve"> </w:t>
      </w:r>
      <w:r>
        <w:fldChar w:fldCharType="begin"/>
      </w:r>
      <w:r>
        <w:instrText xml:space="preserve"> ADDIN ZOTERO_ITEM CSL_CITATION {"citationID":"pVsASlDI","properties":{"formattedCitation":"{\\rtf Brett Walton, \\uc0\\u8220{}California Drought: A Dry January Closes and Dread Mounts,\\uc0\\u8221{} \\i Circle of Blue WaterNews\\i0{}, January 29, 2015, http://www.circleofblue.org/waternews/2015/world/california-drought-a-dry-january-closes-dread-mounts/.}","plainCitation":"Brett Walton, “California Drought: A Dry January Closes and Dread Mounts,” Circle of Blue WaterNews, January 29, 2015, http://www.circleofblue.org/waternews/2015/world/california-drought-a-dry-january-closes-dread-mounts/."},"citationItems":[{"id":1326,"uris":["http://zotero.org/groups/257506/items/57KFRGEJ"],"uri":["http://zotero.org/groups/257506/items/57KFRGEJ"],"itemData":{"id":1326,"type":"article-newspaper","title":"California Drought: A Dry January Closes and Dread Mounts","container-title":"Circle of Blue WaterNews","abstract":"Snowpack in the already-parched state is near record lows, just 25 percent of normal.","URL":"http://www.circleofblue.org/waternews/2015/world/california-drought-a-dry-january-closes-dread-mounts/","shortTitle":"California Drought","author":[{"family":"Walton","given":"Brett"}],"issued":{"date-parts":[["2015",1,29]]},"accessed":{"date-parts":[["2015",2,20]]}}}],"schema":"https://github.com/citation-style-language/schema/raw/master/csl-citation.json"} </w:instrText>
      </w:r>
      <w:r>
        <w:fldChar w:fldCharType="separate"/>
      </w:r>
      <w:r w:rsidRPr="00B82BFE">
        <w:t xml:space="preserve">Brett Walton, “California Drought: A Dry January Closes and Dread Mounts,” </w:t>
      </w:r>
      <w:r w:rsidRPr="00B82BFE">
        <w:rPr>
          <w:i/>
          <w:iCs/>
        </w:rPr>
        <w:t>Circle of Blue WaterNews</w:t>
      </w:r>
      <w:r w:rsidRPr="00B82BFE">
        <w:t>, January 29, 2015, http://www.circleofblue.org/waternews/2015/world/california-drought-a-dry-january-closes-dread-mounts/.</w:t>
      </w:r>
      <w:r>
        <w:fldChar w:fldCharType="end"/>
      </w:r>
    </w:p>
  </w:endnote>
  <w:endnote w:id="20">
    <w:p w14:paraId="66DBA671" w14:textId="77777777" w:rsidR="001E3F44" w:rsidRDefault="001E3F44" w:rsidP="006A3664">
      <w:pPr>
        <w:pStyle w:val="EndnoteText"/>
      </w:pPr>
      <w:r>
        <w:rPr>
          <w:rStyle w:val="EndnoteReference"/>
        </w:rPr>
        <w:endnoteRef/>
      </w:r>
      <w:r>
        <w:t xml:space="preserve"> MWD average </w:t>
      </w:r>
      <w:proofErr w:type="spellStart"/>
      <w:r>
        <w:t>gpcd</w:t>
      </w:r>
      <w:proofErr w:type="spellEnd"/>
      <w:r>
        <w:t xml:space="preserve"> is calculated using the aggregated demand and population numbers prepopulated in the WSAP spreadsheet for all member agencies.</w:t>
      </w:r>
    </w:p>
  </w:endnote>
  <w:endnote w:id="21">
    <w:p w14:paraId="138D2C06" w14:textId="191C824B" w:rsidR="001E3F44" w:rsidRDefault="001E3F44" w:rsidP="006A3664">
      <w:pPr>
        <w:pStyle w:val="EndnoteText"/>
      </w:pPr>
      <w:r>
        <w:rPr>
          <w:rStyle w:val="EndnoteReference"/>
        </w:rPr>
        <w:endnoteRef/>
      </w:r>
      <w:r>
        <w:t xml:space="preserve"> </w:t>
      </w:r>
      <w:r>
        <w:fldChar w:fldCharType="begin"/>
      </w:r>
      <w:r>
        <w:instrText xml:space="preserve"> ADDIN ZOTERO_ITEM CSL_CITATION {"citationID":"ivXg7Nh9","properties":{"formattedCitation":"{\\rtf \\i 20x2020 Water Conservation Plan\\i0{} (California Department of Water Resources, February 2010), http://www.swrcb.ca.gov/water_issues/hot_topics/20x2020/docs/20x2020plan.pdf.}","plainCitation":"20x2020 Water Conservation Plan (California Department of Water Resources, February 2010), http://www.swrcb.ca.gov/water_issues/hot_topics/20x2020/docs/20x2020plan.pdf."},"citationItems":[{"id":70,"uris":["http://zotero.org/users/1391411/items/H5QQFJ38"],"uri":["http://zotero.org/users/1391411/items/H5QQFJ38"],"itemData":{"id":70,"type":"report","title":"20x2020 Water Conservation Plan","publisher":"California Department of Water Resources","URL":"http://www.swrcb.ca.gov/water_issues/hot_topics/20x2020/docs/20x2020plan.pdf","issued":{"date-parts":[["2010",2]]},"accessed":{"date-parts":[["2013",11,14]]}}}],"schema":"https://github.com/citation-style-language/schema/raw/master/csl-citation.json"} </w:instrText>
      </w:r>
      <w:r>
        <w:fldChar w:fldCharType="separate"/>
      </w:r>
      <w:r w:rsidRPr="00841554">
        <w:rPr>
          <w:i/>
          <w:iCs/>
        </w:rPr>
        <w:t>20x2020 Water Conservation Plan</w:t>
      </w:r>
      <w:r w:rsidRPr="00841554">
        <w:t xml:space="preserve"> (California Department of Water Resources, February 2010), http://www.swrcb.ca.gov/water_issues/hot_topics/20x2020/docs/20x2020plan.pdf.</w:t>
      </w:r>
      <w:r>
        <w:fldChar w:fldCharType="end"/>
      </w:r>
    </w:p>
  </w:endnote>
  <w:endnote w:id="22">
    <w:p w14:paraId="47D20889" w14:textId="505BCFB3" w:rsidR="001E3F44" w:rsidRDefault="001E3F44">
      <w:pPr>
        <w:pStyle w:val="EndnoteText"/>
      </w:pPr>
      <w:r>
        <w:rPr>
          <w:rStyle w:val="EndnoteReference"/>
        </w:rPr>
        <w:endnoteRef/>
      </w:r>
      <w:r>
        <w:t xml:space="preserve"> </w:t>
      </w:r>
      <w:proofErr w:type="gramStart"/>
      <w:r>
        <w:t>Board Letter 8-8.</w:t>
      </w:r>
      <w:proofErr w:type="gramEnd"/>
      <w:r>
        <w:t xml:space="preserve"> </w:t>
      </w:r>
      <w:r w:rsidRPr="008E5552">
        <w:rPr>
          <w:i/>
        </w:rPr>
        <w:t xml:space="preserve">The Metropolitan Water District of Southern California Water Planning and Stewardship Committee Board Meeting. </w:t>
      </w:r>
      <w:r>
        <w:t>August 17, 2010.</w:t>
      </w:r>
    </w:p>
  </w:endnote>
  <w:endnote w:id="23">
    <w:p w14:paraId="5FA76E25" w14:textId="79B8A38E" w:rsidR="001E3F44" w:rsidRDefault="001E3F44" w:rsidP="00AF4277">
      <w:pPr>
        <w:pStyle w:val="EndnoteText"/>
      </w:pPr>
      <w:r>
        <w:rPr>
          <w:rStyle w:val="EndnoteReference"/>
        </w:rPr>
        <w:endnoteRef/>
      </w:r>
      <w:r>
        <w:t xml:space="preserve"> There is an accommodation in the WSAP Conservation Demand Hardening formula to account for percentage reduction, but this percent reduction does not take into consideration the </w:t>
      </w:r>
      <w:proofErr w:type="spellStart"/>
      <w:r>
        <w:t>gpcd</w:t>
      </w:r>
      <w:proofErr w:type="spellEnd"/>
      <w:r>
        <w:t xml:space="preserve"> starting point, so agencies reducing from a high </w:t>
      </w:r>
      <w:proofErr w:type="spellStart"/>
      <w:r>
        <w:t>gpcd</w:t>
      </w:r>
      <w:proofErr w:type="spellEnd"/>
      <w:r>
        <w:t xml:space="preserve"> receive the same credit for the same percentage conservation as an agency reducing from a low </w:t>
      </w:r>
      <w:proofErr w:type="spellStart"/>
      <w:r>
        <w:t>gpcd</w:t>
      </w:r>
      <w:proofErr w:type="spellEnd"/>
      <w:r>
        <w:t>.</w:t>
      </w:r>
    </w:p>
  </w:endnote>
  <w:endnote w:id="24">
    <w:p w14:paraId="353979DA" w14:textId="77777777" w:rsidR="001E3F44" w:rsidRDefault="001E3F44" w:rsidP="00AF4277">
      <w:pPr>
        <w:pStyle w:val="EndnoteText"/>
      </w:pPr>
      <w:r>
        <w:rPr>
          <w:rStyle w:val="EndnoteReference"/>
        </w:rPr>
        <w:endnoteRef/>
      </w:r>
      <w:r>
        <w:t xml:space="preserve"> Some conservation costs are partially subsidized by Met through the Water Stewardship Rate, which is a charge paid by member agencies on each unit of water they purchase from Met.</w:t>
      </w:r>
    </w:p>
  </w:endnote>
  <w:endnote w:id="25">
    <w:p w14:paraId="10EC0AA5" w14:textId="77777777" w:rsidR="001E3F44" w:rsidRDefault="001E3F44" w:rsidP="00B617F1">
      <w:pPr>
        <w:pStyle w:val="EndnoteText"/>
      </w:pPr>
      <w:r>
        <w:rPr>
          <w:rStyle w:val="EndnoteReference"/>
        </w:rPr>
        <w:endnoteRef/>
      </w:r>
      <w:r>
        <w:t xml:space="preserve"> </w:t>
      </w:r>
      <w:r>
        <w:fldChar w:fldCharType="begin"/>
      </w:r>
      <w:r>
        <w:instrText xml:space="preserve"> ADDIN ZOTERO_ITEM CSL_CITATION {"citationID":"ekbx9gdl","properties":{"formattedCitation":"{\\rtf Walton, \\uc0\\u8220{}California Drought.\\uc0\\u8221{}}","plainCitation":"Walton, “California Drought.”"},"citationItems":[{"id":1326,"uris":["http://zotero.org/groups/257506/items/57KFRGEJ"],"uri":["http://zotero.org/groups/257506/items/57KFRGEJ"],"itemData":{"id":1326,"type":"article-newspaper","title":"California Drought: A Dry January Closes and Dread Mounts","container-title":"Circle of Blue WaterNews","abstract":"Snowpack in the already-parched state is near record lows, just 25 percent of normal.","URL":"http://www.circleofblue.org/waternews/2015/world/california-drought-a-dry-january-closes-dread-mounts/","shortTitle":"California Drought","author":[{"family":"Walton","given":"Brett"}],"issued":{"date-parts":[["2015",1,29]]},"accessed":{"date-parts":[["2015",2,20]]}}}],"schema":"https://github.com/citation-style-language/schema/raw/master/csl-citation.json"} </w:instrText>
      </w:r>
      <w:r>
        <w:fldChar w:fldCharType="separate"/>
      </w:r>
      <w:r w:rsidRPr="00B82BFE">
        <w:t>Walton, “California Drought.”</w:t>
      </w:r>
      <w:r>
        <w:fldChar w:fldCharType="end"/>
      </w:r>
    </w:p>
  </w:endnote>
  <w:endnote w:id="26">
    <w:p w14:paraId="4A6110EA" w14:textId="0B5A1AEA" w:rsidR="001E3F44" w:rsidRDefault="001E3F44" w:rsidP="00B617F1">
      <w:pPr>
        <w:pStyle w:val="EndnoteText"/>
      </w:pPr>
      <w:r>
        <w:rPr>
          <w:rStyle w:val="EndnoteReference"/>
        </w:rPr>
        <w:endnoteRef/>
      </w:r>
      <w:r w:rsidRPr="00775BEF">
        <w:t xml:space="preserve"> </w:t>
      </w:r>
      <w:r w:rsidRPr="00775BEF">
        <w:fldChar w:fldCharType="begin"/>
      </w:r>
      <w:r>
        <w:instrText xml:space="preserve"> ADDIN ZOTERO_ITEM CSL_CITATION {"citationID":"BJJ6olxh","properties":{"formattedCitation":"{\\rtf \\i The Metropolitan Water District Act of 1969\\i0{}, 1969, http://www.mwdh2o.com/rsap/Act.pdf.}","plainCitation":"The Metropolitan Water District Act of 1969, 1969, http://www.mwdh2o.com/rsap/Act.pdf."},"citationItems":[{"id":492,"uris":["http://zotero.org/groups/257506/items/9X4H7GHC"],"uri":["http://zotero.org/groups/257506/items/9X4H7GHC"],"itemData":{"id":492,"type":"legislation","title":"The Metropolitan Water District Act of 1969","URL":"http://www.mwdh2o.com/rsap/Act.pdf","issued":{"date-parts":[["1969"]]},"accessed":{"date-parts":[["2014",4,10]]}}}],"schema":"https://github.com/citation-style-language/schema/raw/master/csl-citation.json"} </w:instrText>
      </w:r>
      <w:r w:rsidRPr="00775BEF">
        <w:fldChar w:fldCharType="separate"/>
      </w:r>
      <w:r w:rsidRPr="00775BEF">
        <w:t>The Metropolitan Water District Act of 1969, 1969, http://www.mwdh2o.com/rsap/Act.pdf.</w:t>
      </w:r>
      <w:r w:rsidRPr="00775BEF">
        <w:fldChar w:fldCharType="end"/>
      </w:r>
    </w:p>
  </w:endnote>
  <w:endnote w:id="27">
    <w:p w14:paraId="08D2CAF6" w14:textId="77777777" w:rsidR="001E3F44" w:rsidRDefault="001E3F44" w:rsidP="00B617F1">
      <w:pPr>
        <w:pStyle w:val="EndnoteText"/>
      </w:pPr>
      <w:r w:rsidRPr="005902D0">
        <w:rPr>
          <w:rStyle w:val="EndnoteReference"/>
        </w:rPr>
        <w:endnoteRef/>
      </w:r>
      <w:r>
        <w:t xml:space="preserve"> Data were obtained from Met through a public records request submitted in July 2014.</w:t>
      </w:r>
    </w:p>
  </w:endnote>
  <w:endnote w:id="28">
    <w:p w14:paraId="01378949" w14:textId="77777777" w:rsidR="001E3F44" w:rsidRDefault="001E3F44" w:rsidP="002665E5">
      <w:pPr>
        <w:pStyle w:val="EndnoteText"/>
      </w:pPr>
      <w:r>
        <w:rPr>
          <w:rStyle w:val="EndnoteReference"/>
        </w:rPr>
        <w:endnoteRef/>
      </w:r>
      <w:r>
        <w:t xml:space="preserve"> Given the ongoing drought, the total supply in 2015-16 is likely to be much less, perhaps just 1.8 MAF. In this example, we use the supply from 2013-14 so that we may directly compare our allocations to actual agency demand, illustrating how a preferential rights system would reallocate an identical supply of water.</w:t>
      </w:r>
    </w:p>
  </w:endnote>
  <w:endnote w:id="29">
    <w:p w14:paraId="27E8A432" w14:textId="21B5D31E" w:rsidR="001E3F44" w:rsidRDefault="001E3F44" w:rsidP="00177AA8">
      <w:pPr>
        <w:pStyle w:val="EndnoteText"/>
      </w:pPr>
      <w:r w:rsidRPr="008125D1">
        <w:rPr>
          <w:rStyle w:val="EndnoteReference"/>
        </w:rPr>
        <w:endnoteRef/>
      </w:r>
      <w:r>
        <w:t xml:space="preserve"> </w:t>
      </w:r>
      <w:r>
        <w:fldChar w:fldCharType="begin"/>
      </w:r>
      <w:r>
        <w:instrText xml:space="preserve"> ADDIN ZOTERO_ITEM CSL_CITATION {"citationID":"guJa93Fx","properties":{"formattedCitation":"{\\rtf \\uc0\\u8220{}San Diego County Water Authority Petitions State Supreme Court on Preferential Rights,\\uc0\\u8221{} San Diego County Water Authority, accessed April 10, 2014, http://www.sdcwa.org/san-diego-county-water-authority-petitions-state-supreme-court-preferential-rights.}","plainCitation":"“San Diego County Water Authority Petitions State Supreme Court on Preferential Rights,” San Diego County Water Authority, accessed April 10, 2014, http://www.sdcwa.org/san-diego-county-water-authority-petitions-state-supreme-court-preferential-rights."},"citationItems":[{"id":485,"uris":["http://zotero.org/groups/257506/items/5PFCJVSN"],"uri":["http://zotero.org/groups/257506/items/5PFCJVSN"],"itemData":{"id":485,"type":"webpage","title":"San Diego County Water Authority petitions State Supreme Court on preferential rights","genre":"San Diego County Water Authority","URL":"http://www.sdcwa.org/san-diego-county-water-authority-petitions-state-supreme-court-preferential-rights","accessed":{"date-parts":[["2014",4,10]]}}}],"schema":"https://github.com/citation-style-language/schema/raw/master/csl-citation.json"} </w:instrText>
      </w:r>
      <w:r>
        <w:fldChar w:fldCharType="separate"/>
      </w:r>
      <w:r w:rsidRPr="001A161F">
        <w:t>“San Diego County Water Authority Petitions State Supreme Court on Preferential Rights,” San Diego County Water Authority, accessed April 10, 2014, http://www.sdcwa.org/san-diego-county-water-authority-petitions-state-supreme-court-preferential-rights.</w:t>
      </w:r>
      <w:r>
        <w:fldChar w:fldCharType="end"/>
      </w:r>
    </w:p>
  </w:endnote>
  <w:endnote w:id="30">
    <w:p w14:paraId="22EFD4B4" w14:textId="28C0FD88" w:rsidR="001E3F44" w:rsidRDefault="001E3F44" w:rsidP="00177AA8">
      <w:pPr>
        <w:pStyle w:val="EndnoteText"/>
      </w:pPr>
      <w:r w:rsidRPr="008125D1">
        <w:rPr>
          <w:rStyle w:val="EndnoteReference"/>
        </w:rPr>
        <w:endnoteRef/>
      </w:r>
      <w:r>
        <w:t xml:space="preserve"> </w:t>
      </w:r>
      <w:proofErr w:type="gramStart"/>
      <w:r>
        <w:t>Excluding exchange water from IID agreement.</w:t>
      </w:r>
      <w:proofErr w:type="gramEnd"/>
      <w:r>
        <w:t xml:space="preserve"> </w:t>
      </w:r>
      <w:r>
        <w:fldChar w:fldCharType="begin"/>
      </w:r>
      <w:r>
        <w:instrText xml:space="preserve"> ADDIN ZOTERO_ITEM CSL_CITATION {"citationID":"DxsX1a2D","properties":{"formattedCitation":"{\\rtf \\i MWD Annual Report for the Fiscal Year 2013-2014\\i0{} (Metropolitan Water District of Southern California), accessed January 20, 2015, http://www.mwdh2o.com/mwdh2o/pages/finance/FY13-14-CAFR.pdf.}","plainCitation":"MWD Annual Report for the Fiscal Year 2013-2014 (Metropolitan Water District of Southern California), accessed January 20, 2015, http://www.mwdh2o.com/mwdh2o/pages/finance/FY13-14-CAFR.pdf."},"citationItems":[{"id":1256,"uris":["http://zotero.org/groups/257506/items/ZECKKG2U"],"uri":["http://zotero.org/groups/257506/items/ZECKKG2U"],"itemData":{"id":1256,"type":"report","title":"MWD Annual Report for the Fiscal Year 2013-2014","publisher":"Metropolitan Water District of Southern California","URL":"http://www.mwdh2o.com/mwdh2o/pages/finance/FY13-14-CAFR.pdf","accessed":{"date-parts":[["2015",1,20]],"season":"22:06:50"}}}],"schema":"https://github.com/citation-style-language/schema/raw/master/csl-citation.json"} </w:instrText>
      </w:r>
      <w:r>
        <w:fldChar w:fldCharType="separate"/>
      </w:r>
      <w:r w:rsidRPr="00B825B1">
        <w:rPr>
          <w:i/>
          <w:iCs/>
        </w:rPr>
        <w:t>MWD Annual Report for the Fiscal Year 2013-2014</w:t>
      </w:r>
      <w:r w:rsidRPr="00B825B1">
        <w:t xml:space="preserve"> (Metropolitan Water District of Southern California), accessed January 20, 2015, http://www.mwdh2o.com/mwdh2o/pages/finance/FY13-14-CAFR.pdf.</w:t>
      </w:r>
      <w:r>
        <w:fldChar w:fldCharType="end"/>
      </w:r>
    </w:p>
  </w:endnote>
  <w:endnote w:id="31">
    <w:p w14:paraId="65BFBC41" w14:textId="77777777" w:rsidR="001E3F44" w:rsidRDefault="001E3F44" w:rsidP="00177AA8">
      <w:pPr>
        <w:pStyle w:val="EndnoteText"/>
      </w:pPr>
      <w:r w:rsidRPr="008125D1">
        <w:rPr>
          <w:rStyle w:val="EndnoteReference"/>
        </w:rPr>
        <w:endnoteRef/>
      </w:r>
      <w:r w:rsidRPr="00D213FB">
        <w:t xml:space="preserve"> As a counterpoint to San Diego’s claim, one may argue that because SDCWA </w:t>
      </w:r>
      <w:r w:rsidRPr="00D213FB">
        <w:rPr>
          <w:rFonts w:cs="Arial"/>
          <w:color w:val="000000"/>
        </w:rPr>
        <w:t xml:space="preserve">joined </w:t>
      </w:r>
      <w:r>
        <w:rPr>
          <w:rFonts w:cs="Arial"/>
          <w:color w:val="000000"/>
        </w:rPr>
        <w:t>Met</w:t>
      </w:r>
      <w:r w:rsidRPr="00D213FB">
        <w:rPr>
          <w:rFonts w:cs="Arial"/>
          <w:color w:val="000000"/>
        </w:rPr>
        <w:t xml:space="preserve"> relatively late in 1946, it has not paid as much in cumulative property taxes as founding agencies like LADWP (Erie and </w:t>
      </w:r>
      <w:proofErr w:type="spellStart"/>
      <w:r w:rsidRPr="00D213FB">
        <w:rPr>
          <w:rFonts w:cs="Arial"/>
          <w:color w:val="000000"/>
        </w:rPr>
        <w:t>Brackman</w:t>
      </w:r>
      <w:proofErr w:type="spellEnd"/>
      <w:r w:rsidRPr="00D213FB">
        <w:rPr>
          <w:rFonts w:cs="Arial"/>
          <w:color w:val="000000"/>
        </w:rPr>
        <w:t xml:space="preserve">, </w:t>
      </w:r>
      <w:r w:rsidRPr="00D213FB">
        <w:rPr>
          <w:rFonts w:cs="Arial"/>
          <w:i/>
          <w:color w:val="000000"/>
        </w:rPr>
        <w:t>Beyond Chinatown</w:t>
      </w:r>
      <w:r>
        <w:rPr>
          <w:rFonts w:cs="Arial"/>
          <w:color w:val="000000"/>
        </w:rPr>
        <w:t xml:space="preserve">). David </w:t>
      </w:r>
      <w:proofErr w:type="spellStart"/>
      <w:r>
        <w:rPr>
          <w:rFonts w:cs="Arial"/>
          <w:color w:val="000000"/>
        </w:rPr>
        <w:t>Zetla</w:t>
      </w:r>
      <w:r w:rsidRPr="00D213FB">
        <w:rPr>
          <w:rFonts w:cs="Arial"/>
          <w:color w:val="000000"/>
        </w:rPr>
        <w:t>n</w:t>
      </w:r>
      <w:r>
        <w:rPr>
          <w:rFonts w:cs="Arial"/>
          <w:color w:val="000000"/>
        </w:rPr>
        <w:t>d</w:t>
      </w:r>
      <w:proofErr w:type="spellEnd"/>
      <w:r w:rsidRPr="00D213FB">
        <w:rPr>
          <w:rFonts w:cs="Arial"/>
          <w:color w:val="000000"/>
        </w:rPr>
        <w:t xml:space="preserve"> argues in </w:t>
      </w:r>
      <w:r w:rsidRPr="00D213FB">
        <w:rPr>
          <w:rFonts w:cs="Arial"/>
          <w:i/>
          <w:color w:val="000000"/>
        </w:rPr>
        <w:t xml:space="preserve">The End of Abundance </w:t>
      </w:r>
      <w:r w:rsidRPr="00D213FB">
        <w:rPr>
          <w:rFonts w:cs="Arial"/>
          <w:color w:val="000000"/>
        </w:rPr>
        <w:t xml:space="preserve">that in the early years of </w:t>
      </w:r>
      <w:r>
        <w:rPr>
          <w:rFonts w:cs="Arial"/>
          <w:color w:val="000000"/>
        </w:rPr>
        <w:t>Met</w:t>
      </w:r>
      <w:r w:rsidRPr="00D213FB">
        <w:rPr>
          <w:rFonts w:cs="Arial"/>
          <w:color w:val="000000"/>
        </w:rPr>
        <w:t>, Los Angeles’ property taxes effectively subsidized</w:t>
      </w:r>
      <w:r>
        <w:rPr>
          <w:rFonts w:cs="Arial"/>
          <w:color w:val="000000"/>
        </w:rPr>
        <w:t xml:space="preserve"> </w:t>
      </w:r>
      <w:r w:rsidRPr="00D213FB">
        <w:rPr>
          <w:rFonts w:cs="Arial"/>
          <w:color w:val="000000"/>
        </w:rPr>
        <w:t>delivery of CRA water to neighboring cities</w:t>
      </w:r>
      <w:r>
        <w:rPr>
          <w:rFonts w:cs="Arial"/>
          <w:color w:val="000000"/>
        </w:rPr>
        <w:t>.</w:t>
      </w:r>
      <w:r w:rsidRPr="00D213FB">
        <w:rPr>
          <w:rFonts w:cs="Arial"/>
          <w:color w:val="000000"/>
        </w:rPr>
        <w:t xml:space="preserve"> </w:t>
      </w:r>
      <w:r>
        <w:rPr>
          <w:rFonts w:cs="Arial"/>
          <w:color w:val="000000"/>
        </w:rPr>
        <w:t>Los Angeles</w:t>
      </w:r>
      <w:r w:rsidRPr="00D213FB">
        <w:rPr>
          <w:rFonts w:cs="Arial"/>
          <w:color w:val="000000"/>
        </w:rPr>
        <w:t xml:space="preserve"> already had an ample supply of water from the LA Aqueduct</w:t>
      </w:r>
      <w:r>
        <w:rPr>
          <w:rFonts w:cs="Arial"/>
          <w:color w:val="000000"/>
        </w:rPr>
        <w:t xml:space="preserve"> and therefore took little delivery of water from CRA in those years –</w:t>
      </w:r>
      <w:r w:rsidRPr="00D213FB">
        <w:rPr>
          <w:rFonts w:cs="Arial"/>
          <w:color w:val="000000"/>
        </w:rPr>
        <w:t xml:space="preserve"> its main in</w:t>
      </w:r>
      <w:r>
        <w:rPr>
          <w:rFonts w:cs="Arial"/>
          <w:color w:val="000000"/>
        </w:rPr>
        <w:t>terest in building CRA was not water but</w:t>
      </w:r>
      <w:r w:rsidRPr="00D213FB">
        <w:rPr>
          <w:rFonts w:cs="Arial"/>
          <w:color w:val="000000"/>
        </w:rPr>
        <w:t xml:space="preserve"> power from Hoover Dam.</w:t>
      </w:r>
    </w:p>
  </w:endnote>
  <w:endnote w:id="32">
    <w:p w14:paraId="07A5F2AB" w14:textId="5CD1225B" w:rsidR="001E3F44" w:rsidRDefault="001E3F44" w:rsidP="00177AA8">
      <w:pPr>
        <w:pStyle w:val="EndnoteText"/>
      </w:pPr>
      <w:r w:rsidRPr="008125D1">
        <w:rPr>
          <w:rStyle w:val="EndnoteReference"/>
        </w:rPr>
        <w:endnoteRef/>
      </w:r>
      <w:r>
        <w:t xml:space="preserve"> </w:t>
      </w:r>
      <w:r>
        <w:fldChar w:fldCharType="begin"/>
      </w:r>
      <w:r>
        <w:instrText xml:space="preserve"> ADDIN ZOTERO_ITEM CSL_CITATION {"citationID":"vuwd7DPn","properties":{"formattedCitation":"{\\rtf Erie and Brackman, \\i Beyond Chinatown\\i0{}.}","plainCitation":"Erie and Brackman, Beyond Chinatown."},"citationItems":[{"id":499,"uris":["http://zotero.org/groups/257506/items/PI5UT3PI"],"uri":["http://zotero.org/groups/257506/items/PI5UT3PI"],"itemData":{"id":499,"type":"book","title":"Beyond Chinatown: the Metropolitan Water District, growth, and the environment in southern California","publisher":"Stanford University Press","publisher-place":"Stanford","source":"Open WorldCat","event-place":"Stanford","abstract":"As urban growth outstrips water supplies, how can the global challenge of providing \"liquid gold\" be met? Mixing history and policy analysis, Erie tells the story of the Metropolitan Water District of Southern California (MWD)--one of the world's largest and most important public water agencies--and its role in building the world's eighth largest economy in a semi-desert. No tawdry tale of secret backroom conspiracies--as depicted in the famed film Chinatown--this telling concerns an unheralded regional institution, its entrepreneurial public leadership, and pioneering policymaking. Using untapped primary sources, the author re-examines this great regional experiment from its 1920s-era origins, through the Colorado River Aqueduct and State Water Projects, to today's daunting mission of drought management, water quality, environmental stewardship, and supply security. He concludes by considering MWD's Integrated Resources Plan as a global model for water-resources planning and management, water supply reliability, affordability, and environmental sustainability.--From publisher description.","ISBN":"0804751390  9780804751391  0804751404  9780804751407","shortTitle":"Beyond Chinatown","language":"English","author":[{"family":"Erie","given":"Steven P"},{"family":"Brackman","given":"Harold David"}],"issued":{"date-parts":[["2006"]]}}}],"schema":"https://github.com/citation-style-language/schema/raw/master/csl-citation.json"} </w:instrText>
      </w:r>
      <w:r>
        <w:fldChar w:fldCharType="separate"/>
      </w:r>
      <w:r w:rsidRPr="005F6E78">
        <w:t xml:space="preserve">Erie and Brackman, </w:t>
      </w:r>
      <w:r w:rsidRPr="005F6E78">
        <w:rPr>
          <w:i/>
          <w:iCs/>
        </w:rPr>
        <w:t>Beyond Chinatown</w:t>
      </w:r>
      <w:r w:rsidRPr="005F6E78">
        <w:t>.</w:t>
      </w:r>
      <w:r>
        <w:fldChar w:fldCharType="end"/>
      </w:r>
    </w:p>
  </w:endnote>
  <w:endnote w:id="33">
    <w:p w14:paraId="045B3090" w14:textId="01735EE8" w:rsidR="001E3F44" w:rsidRDefault="001E3F44" w:rsidP="00177AA8">
      <w:pPr>
        <w:pStyle w:val="EndnoteText"/>
      </w:pPr>
      <w:r w:rsidRPr="008125D1">
        <w:rPr>
          <w:rStyle w:val="EndnoteReference"/>
        </w:rPr>
        <w:endnoteRef/>
      </w:r>
      <w:r>
        <w:t xml:space="preserve"> </w:t>
      </w:r>
      <w:r>
        <w:fldChar w:fldCharType="begin"/>
      </w:r>
      <w:r>
        <w:instrText xml:space="preserve"> ADDIN ZOTERO_ITEM CSL_CITATION {"citationID":"qQecbyfr","properties":{"formattedCitation":"{\\rtf \\i MWD Annual Report for the Fiscal Year 2013-2014\\i0{}.}","plainCitation":"MWD Annual Report for the Fiscal Year 2013-2014."},"citationItems":[{"id":1256,"uris":["http://zotero.org/groups/257506/items/ZECKKG2U"],"uri":["http://zotero.org/groups/257506/items/ZECKKG2U"],"itemData":{"id":1256,"type":"report","title":"MWD Annual Report for the Fiscal Year 2013-2014","publisher":"Metropolitan Water District of Southern California","URL":"http://www.mwdh2o.com/mwdh2o/pages/finance/FY13-14-CAFR.pdf","accessed":{"date-parts":[["2015",1,20]],"season":"22:06:50"}}}],"schema":"https://github.com/citation-style-language/schema/raw/master/csl-citation.json"} </w:instrText>
      </w:r>
      <w:r>
        <w:fldChar w:fldCharType="separate"/>
      </w:r>
      <w:r w:rsidRPr="00B825B1">
        <w:rPr>
          <w:i/>
          <w:iCs/>
        </w:rPr>
        <w:t>MWD Annual Report for the Fiscal Year 2013-2014</w:t>
      </w:r>
      <w:r w:rsidRPr="00B825B1">
        <w:t>.</w:t>
      </w:r>
      <w:r>
        <w:fldChar w:fldCharType="end"/>
      </w:r>
      <w:r>
        <w:t xml:space="preserve"> pp. 68—69.</w:t>
      </w:r>
    </w:p>
  </w:endnote>
  <w:endnote w:id="34">
    <w:p w14:paraId="3962BEC2" w14:textId="56E1DB89" w:rsidR="001E3F44" w:rsidRDefault="001E3F44" w:rsidP="00177AA8">
      <w:pPr>
        <w:pStyle w:val="EndnoteText"/>
      </w:pPr>
      <w:r w:rsidRPr="008125D1">
        <w:rPr>
          <w:rStyle w:val="EndnoteReference"/>
        </w:rPr>
        <w:endnoteRef/>
      </w:r>
      <w:r>
        <w:t xml:space="preserve"> </w:t>
      </w:r>
      <w:r>
        <w:fldChar w:fldCharType="begin"/>
      </w:r>
      <w:r>
        <w:instrText xml:space="preserve"> ADDIN ZOTERO_ITEM CSL_CITATION {"citationID":"VZiQGbGZ","properties":{"formattedCitation":"{\\rtf \\uc0\\u8220{}CA Water Code Subsection 350 (Water Shortage Emergency),\\uc0\\u8221{} accessed April 10, 2014, http://www.leginfo.ca.gov/cgi-bin/displaycode?section=wat&amp;group=00001-01000&amp;file=350-359.}","plainCitation":"“CA Water Code Subsection 350 (Water Shortage Emergency),” accessed April 10, 2014, http://www.leginfo.ca.gov/cgi-bin/displaycode?section=wat&amp;group=00001-01000&amp;file=350-359."},"citationItems":[{"id":468,"uris":["http://zotero.org/groups/257506/items/DAP5KIDP"],"uri":["http://zotero.org/groups/257506/items/DAP5KIDP"],"itemData":{"id":468,"type":"webpage","title":"CA Water Code Subsection 350 (Water shortage emergency)","URL":"http://www.leginfo.ca.gov/cgi-bin/displaycode?section=wat&amp;group=00001-01000&amp;file=350-359","accessed":{"date-parts":[["2014",4,10]]}}}],"schema":"https://github.com/citation-style-language/schema/raw/master/csl-citation.json"} </w:instrText>
      </w:r>
      <w:r>
        <w:fldChar w:fldCharType="separate"/>
      </w:r>
      <w:r w:rsidRPr="00F44EB7">
        <w:t>“CA Water Code Subsection 350 (Water Shortage Emergency),” accessed April 10, 2014, http://www.leginfo.ca.gov/cgi-bin/displaycode?section=wat&amp;group=00001-01000&amp;file=350-359.</w:t>
      </w:r>
      <w:r>
        <w:fldChar w:fldCharType="end"/>
      </w:r>
    </w:p>
  </w:endnote>
  <w:endnote w:id="35">
    <w:p w14:paraId="3FF64CE9" w14:textId="757BDF4D" w:rsidR="001E3F44" w:rsidRDefault="001E3F44" w:rsidP="001C3523">
      <w:pPr>
        <w:pStyle w:val="EndnoteText"/>
      </w:pPr>
      <w:r>
        <w:rPr>
          <w:rStyle w:val="EndnoteReference"/>
        </w:rPr>
        <w:endnoteRef/>
      </w:r>
      <w:r>
        <w:t>h</w:t>
      </w:r>
      <w:r w:rsidRPr="000D12FA">
        <w:t>ttp://www.waterboards.ca.gov/waterrights/water_issues/programs/drought/conservation_reporting_info.shtml#tools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Gill Sans MT">
    <w:panose1 w:val="020B05020201040202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GｺﾞｼｯｸE">
    <w:altName w:val="Times New Roman"/>
    <w:panose1 w:val="00000000000000000000"/>
    <w:charset w:val="00"/>
    <w:family w:val="roman"/>
    <w:notTrueType/>
    <w:pitch w:val="default"/>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6EAFF" w14:textId="77777777" w:rsidR="001E3F44" w:rsidRDefault="001E3F44" w:rsidP="00F71F8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021A44" w14:textId="77777777" w:rsidR="001E3F44" w:rsidRDefault="001E3F44" w:rsidP="007B6ECE">
    <w:pPr>
      <w:pStyle w:val="Footer"/>
      <w:ind w:right="360"/>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150C4F" w14:textId="320B95BF" w:rsidR="001E3F44" w:rsidRDefault="001E3F44" w:rsidP="007B6ECE">
    <w:pPr>
      <w:pStyle w:val="Footer"/>
      <w:ind w:right="360"/>
    </w:pPr>
    <w:r>
      <w:rPr>
        <w:rStyle w:val="PageNumber"/>
      </w:rPr>
      <w:t>Conclusion</w:t>
    </w:r>
    <w:r>
      <w:tab/>
    </w:r>
    <w:r>
      <w:tab/>
      <w:t xml:space="preserve">Page </w:t>
    </w:r>
    <w:r>
      <w:rPr>
        <w:b/>
        <w:bCs/>
      </w:rPr>
      <w:fldChar w:fldCharType="begin"/>
    </w:r>
    <w:r>
      <w:rPr>
        <w:b/>
        <w:bCs/>
      </w:rPr>
      <w:instrText xml:space="preserve"> PAGE  \* Arabic  \* MERGEFORMAT </w:instrText>
    </w:r>
    <w:r>
      <w:rPr>
        <w:b/>
        <w:bCs/>
      </w:rPr>
      <w:fldChar w:fldCharType="separate"/>
    </w:r>
    <w:r w:rsidR="00DF236E">
      <w:rPr>
        <w:b/>
        <w:bCs/>
        <w:noProof/>
      </w:rPr>
      <w:t>58</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DF236E">
      <w:rPr>
        <w:b/>
        <w:bCs/>
        <w:noProof/>
      </w:rPr>
      <w:t>58</w:t>
    </w:r>
    <w:r>
      <w:rPr>
        <w:b/>
        <w:bCs/>
      </w:rPr>
      <w:fldChar w:fldCharType="end"/>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6C070" w14:textId="76701EA1" w:rsidR="001E3F44" w:rsidRDefault="001E3F44" w:rsidP="007B6ECE">
    <w:pPr>
      <w:pStyle w:val="Footer"/>
      <w:ind w:right="360"/>
    </w:pPr>
    <w:r>
      <w:rPr>
        <w:rStyle w:val="PageNumber"/>
      </w:rPr>
      <w:t>Acknowledgements</w:t>
    </w:r>
    <w:r>
      <w:tab/>
    </w:r>
    <w:r>
      <w:tab/>
      <w:t xml:space="preserve">Page </w:t>
    </w:r>
    <w:r>
      <w:rPr>
        <w:b/>
        <w:bCs/>
      </w:rPr>
      <w:fldChar w:fldCharType="begin"/>
    </w:r>
    <w:r>
      <w:rPr>
        <w:b/>
        <w:bCs/>
      </w:rPr>
      <w:instrText xml:space="preserve"> PAGE  \* Arabic  \* MERGEFORMAT </w:instrText>
    </w:r>
    <w:r>
      <w:rPr>
        <w:b/>
        <w:bCs/>
      </w:rPr>
      <w:fldChar w:fldCharType="separate"/>
    </w:r>
    <w:r w:rsidR="00DF236E">
      <w:rPr>
        <w:b/>
        <w:bCs/>
        <w:noProof/>
      </w:rPr>
      <w:t>59</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DF236E">
      <w:rPr>
        <w:b/>
        <w:bCs/>
        <w:noProof/>
      </w:rPr>
      <w:t>59</w:t>
    </w:r>
    <w:r>
      <w:rPr>
        <w:b/>
        <w:bCs/>
      </w:rPr>
      <w:fldChar w:fldCharType="end"/>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275489" w14:textId="212CC602" w:rsidR="001E3F44" w:rsidRDefault="001E3F44" w:rsidP="00C73277">
    <w:pPr>
      <w:pStyle w:val="Footer"/>
      <w:ind w:right="360"/>
    </w:pPr>
    <w:r>
      <w:t>References</w:t>
    </w:r>
    <w:r>
      <w:tab/>
    </w:r>
    <w:r>
      <w:tab/>
      <w:t xml:space="preserve">Page </w:t>
    </w:r>
    <w:r>
      <w:rPr>
        <w:b/>
        <w:bCs/>
      </w:rPr>
      <w:fldChar w:fldCharType="begin"/>
    </w:r>
    <w:r>
      <w:rPr>
        <w:b/>
        <w:bCs/>
      </w:rPr>
      <w:instrText xml:space="preserve"> PAGE  \* Arabic  \* MERGEFORMAT </w:instrText>
    </w:r>
    <w:r>
      <w:rPr>
        <w:b/>
        <w:bCs/>
      </w:rPr>
      <w:fldChar w:fldCharType="separate"/>
    </w:r>
    <w:r w:rsidR="00DF236E">
      <w:rPr>
        <w:b/>
        <w:bCs/>
        <w:noProof/>
      </w:rPr>
      <w:t>61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DF236E">
      <w:rPr>
        <w:b/>
        <w:bCs/>
        <w:noProof/>
      </w:rPr>
      <w:t>61</w:t>
    </w:r>
    <w:r>
      <w:rPr>
        <w:b/>
        <w:bCs/>
      </w:rPr>
      <w:fldChar w:fldCharType="end"/>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D8A9E7" w14:textId="6EF9427E" w:rsidR="001E3F44" w:rsidRDefault="001E3F44" w:rsidP="00C73277">
    <w:pPr>
      <w:pStyle w:val="Footer"/>
      <w:ind w:right="360"/>
    </w:pPr>
    <w:r>
      <w:t>Appendix A</w:t>
    </w:r>
    <w:r>
      <w:tab/>
    </w:r>
    <w:r>
      <w:tab/>
      <w:t xml:space="preserve">Page </w:t>
    </w:r>
    <w:r>
      <w:rPr>
        <w:b/>
        <w:bCs/>
      </w:rPr>
      <w:fldChar w:fldCharType="begin"/>
    </w:r>
    <w:r>
      <w:rPr>
        <w:b/>
        <w:bCs/>
      </w:rPr>
      <w:instrText xml:space="preserve"> PAGE  \* Arabic  \* MERGEFORMAT </w:instrText>
    </w:r>
    <w:r>
      <w:rPr>
        <w:b/>
        <w:bCs/>
      </w:rPr>
      <w:fldChar w:fldCharType="separate"/>
    </w:r>
    <w:r w:rsidR="00DF236E">
      <w:rPr>
        <w:b/>
        <w:bCs/>
        <w:noProof/>
      </w:rPr>
      <w:t>65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DF236E">
      <w:rPr>
        <w:b/>
        <w:bCs/>
        <w:noProof/>
      </w:rPr>
      <w:t>65</w:t>
    </w:r>
    <w:r>
      <w:rPr>
        <w:b/>
        <w:bCs/>
      </w:rPr>
      <w:fldChar w:fldCharType="end"/>
    </w:r>
    <w:r>
      <w:tab/>
    </w:r>
    <w:r>
      <w:tab/>
    </w: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A1288D" w14:textId="29C9B027" w:rsidR="001E3F44" w:rsidRDefault="001E3F44" w:rsidP="00C73277">
    <w:pPr>
      <w:pStyle w:val="Footer"/>
      <w:ind w:right="360"/>
    </w:pPr>
    <w:r>
      <w:rPr>
        <w:rStyle w:val="PageNumber"/>
      </w:rPr>
      <w:t>Appendix B</w:t>
    </w:r>
    <w:r>
      <w:tab/>
    </w:r>
    <w:r>
      <w:tab/>
      <w:t xml:space="preserve">Page </w:t>
    </w:r>
    <w:r>
      <w:rPr>
        <w:b/>
        <w:bCs/>
      </w:rPr>
      <w:fldChar w:fldCharType="begin"/>
    </w:r>
    <w:r>
      <w:rPr>
        <w:b/>
        <w:bCs/>
      </w:rPr>
      <w:instrText xml:space="preserve"> PAGE  \* Arabic  \* MERGEFORMAT </w:instrText>
    </w:r>
    <w:r>
      <w:rPr>
        <w:b/>
        <w:bCs/>
      </w:rPr>
      <w:fldChar w:fldCharType="separate"/>
    </w:r>
    <w:r w:rsidR="00DF236E">
      <w:rPr>
        <w:b/>
        <w:bCs/>
        <w:noProof/>
      </w:rPr>
      <w:t>73</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DF236E">
      <w:rPr>
        <w:b/>
        <w:bCs/>
        <w:noProof/>
      </w:rPr>
      <w:t>73</w:t>
    </w:r>
    <w:r>
      <w:rPr>
        <w:b/>
        <w:bCs/>
      </w:rPr>
      <w:fldChar w:fldCharType="end"/>
    </w: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D676B" w14:textId="42BDC802" w:rsidR="001E3F44" w:rsidRDefault="001E3F44" w:rsidP="007B6ECE">
    <w:pPr>
      <w:pStyle w:val="Footer"/>
      <w:ind w:right="360"/>
    </w:pPr>
    <w:r>
      <w:tab/>
    </w:r>
    <w:r>
      <w:tab/>
      <w:t xml:space="preserve">Page </w:t>
    </w:r>
    <w:r>
      <w:rPr>
        <w:b/>
        <w:bCs/>
      </w:rPr>
      <w:fldChar w:fldCharType="begin"/>
    </w:r>
    <w:r>
      <w:rPr>
        <w:b/>
        <w:bCs/>
      </w:rPr>
      <w:instrText xml:space="preserve"> PAGE  \* Arabic  \* MERGEFORMAT </w:instrText>
    </w:r>
    <w:r>
      <w:rPr>
        <w:b/>
        <w:bCs/>
      </w:rPr>
      <w:fldChar w:fldCharType="separate"/>
    </w:r>
    <w:r w:rsidR="00DF236E">
      <w:rPr>
        <w:b/>
        <w:bCs/>
        <w:noProof/>
      </w:rPr>
      <w:t>79</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DF236E">
      <w:rPr>
        <w:b/>
        <w:bCs/>
        <w:noProof/>
      </w:rPr>
      <w:t>79</w:t>
    </w:r>
    <w:r>
      <w:rPr>
        <w:b/>
        <w:bCs/>
      </w:rPr>
      <w:fldChar w:fldCharType="end"/>
    </w:r>
  </w:p>
  <w:p w14:paraId="4FC147C3" w14:textId="77777777" w:rsidR="001E3F44" w:rsidRDefault="001E3F44"/>
  <w:p w14:paraId="119F8CAC" w14:textId="77777777" w:rsidR="001E3F44" w:rsidRDefault="001E3F44"/>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A2571" w14:textId="77777777" w:rsidR="001E3F44" w:rsidRDefault="001E3F44" w:rsidP="007B6ECE">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A9806" w14:textId="38206671" w:rsidR="001E3F44" w:rsidRDefault="001E3F44" w:rsidP="007B6ECE">
    <w:pPr>
      <w:pStyle w:val="Footer"/>
      <w:ind w:right="360"/>
    </w:pPr>
    <w:r>
      <w:tab/>
    </w:r>
    <w:r>
      <w:fldChar w:fldCharType="begin"/>
    </w:r>
    <w:r>
      <w:instrText xml:space="preserve"> PAGE   \* MERGEFORMAT </w:instrText>
    </w:r>
    <w:r>
      <w:fldChar w:fldCharType="separate"/>
    </w:r>
    <w:r w:rsidR="00DF236E">
      <w:rPr>
        <w:noProof/>
      </w:rPr>
      <w:t>iv</w:t>
    </w:r>
    <w:r>
      <w:rPr>
        <w:noProof/>
      </w:rP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14B878" w14:textId="6F278DF5" w:rsidR="001E3F44" w:rsidRDefault="001E3F44" w:rsidP="007B6ECE">
    <w:pPr>
      <w:pStyle w:val="Footer"/>
      <w:ind w:right="360"/>
    </w:pPr>
    <w:r>
      <w:rPr>
        <w:rStyle w:val="PageNumber"/>
      </w:rPr>
      <w:t>Introduction</w:t>
    </w:r>
    <w:r>
      <w:tab/>
    </w:r>
    <w:r>
      <w:tab/>
      <w:t xml:space="preserve">Page </w:t>
    </w:r>
    <w:r>
      <w:rPr>
        <w:b/>
        <w:bCs/>
      </w:rPr>
      <w:fldChar w:fldCharType="begin"/>
    </w:r>
    <w:r>
      <w:rPr>
        <w:b/>
        <w:bCs/>
      </w:rPr>
      <w:instrText xml:space="preserve"> PAGE  \* Arabic  \* MERGEFORMAT </w:instrText>
    </w:r>
    <w:r>
      <w:rPr>
        <w:b/>
        <w:bCs/>
      </w:rPr>
      <w:fldChar w:fldCharType="separate"/>
    </w:r>
    <w:r w:rsidR="00DF236E">
      <w:rPr>
        <w:b/>
        <w:bCs/>
        <w:noProof/>
      </w:rPr>
      <w:t>11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DF236E">
      <w:rPr>
        <w:b/>
        <w:bCs/>
        <w:noProof/>
      </w:rPr>
      <w:t>79</w:t>
    </w:r>
    <w:r>
      <w:rPr>
        <w:b/>
        <w:bCs/>
      </w:rP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330CC" w14:textId="48E69FCC" w:rsidR="001E3F44" w:rsidRDefault="001E3F44">
    <w:pPr>
      <w:pStyle w:val="Footer"/>
    </w:pPr>
    <w:r>
      <w:t>Introduction</w:t>
    </w:r>
    <w:r>
      <w:tab/>
    </w:r>
    <w:r>
      <w:tab/>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41</w:t>
    </w:r>
    <w:r>
      <w:rPr>
        <w:b/>
        <w:bCs/>
      </w:rP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35F6E" w14:textId="45EB8AD2" w:rsidR="001E3F44" w:rsidRDefault="001E3F44" w:rsidP="007B6ECE">
    <w:pPr>
      <w:pStyle w:val="Footer"/>
      <w:ind w:right="360"/>
    </w:pPr>
    <w:r>
      <w:rPr>
        <w:rStyle w:val="PageNumber"/>
      </w:rPr>
      <w:t>Background</w:t>
    </w:r>
    <w:r>
      <w:tab/>
    </w:r>
    <w:r>
      <w:tab/>
      <w:t xml:space="preserve">Page </w:t>
    </w:r>
    <w:r>
      <w:rPr>
        <w:b/>
        <w:bCs/>
      </w:rPr>
      <w:fldChar w:fldCharType="begin"/>
    </w:r>
    <w:r>
      <w:rPr>
        <w:b/>
        <w:bCs/>
      </w:rPr>
      <w:instrText xml:space="preserve"> PAGE  \* Arabic  \* MERGEFORMAT </w:instrText>
    </w:r>
    <w:r>
      <w:rPr>
        <w:b/>
        <w:bCs/>
      </w:rPr>
      <w:fldChar w:fldCharType="separate"/>
    </w:r>
    <w:r w:rsidR="00DF236E">
      <w:rPr>
        <w:b/>
        <w:bCs/>
        <w:noProof/>
      </w:rPr>
      <w:t>15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DF236E">
      <w:rPr>
        <w:b/>
        <w:bCs/>
        <w:noProof/>
      </w:rPr>
      <w:t>79</w:t>
    </w:r>
    <w:r>
      <w:rPr>
        <w:b/>
        <w:bCs/>
      </w:rPr>
      <w:fldChar w:fldCharType="end"/>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E7876" w14:textId="59AF4C5D" w:rsidR="001E3F44" w:rsidRDefault="001E3F44" w:rsidP="007B6ECE">
    <w:pPr>
      <w:pStyle w:val="Footer"/>
      <w:ind w:right="360"/>
    </w:pPr>
    <w:r>
      <w:rPr>
        <w:rStyle w:val="PageNumber"/>
      </w:rPr>
      <w:t>Methods</w:t>
    </w:r>
    <w:r>
      <w:tab/>
    </w:r>
    <w:r>
      <w:tab/>
      <w:t xml:space="preserve">Page </w:t>
    </w:r>
    <w:r>
      <w:rPr>
        <w:b/>
        <w:bCs/>
      </w:rPr>
      <w:fldChar w:fldCharType="begin"/>
    </w:r>
    <w:r>
      <w:rPr>
        <w:b/>
        <w:bCs/>
      </w:rPr>
      <w:instrText xml:space="preserve"> PAGE  \* Arabic  \* MERGEFORMAT </w:instrText>
    </w:r>
    <w:r>
      <w:rPr>
        <w:b/>
        <w:bCs/>
      </w:rPr>
      <w:fldChar w:fldCharType="separate"/>
    </w:r>
    <w:r w:rsidR="00DF236E">
      <w:rPr>
        <w:b/>
        <w:bCs/>
        <w:noProof/>
      </w:rPr>
      <w:t>28</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DF236E">
      <w:rPr>
        <w:b/>
        <w:bCs/>
        <w:noProof/>
      </w:rPr>
      <w:t>79</w:t>
    </w:r>
    <w:r>
      <w:rPr>
        <w:b/>
        <w:bCs/>
      </w:rPr>
      <w:fldChar w:fldCharType="end"/>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530F6" w14:textId="2482E501" w:rsidR="001E3F44" w:rsidRDefault="001E3F44" w:rsidP="007B6ECE">
    <w:pPr>
      <w:pStyle w:val="Footer"/>
      <w:ind w:right="360"/>
    </w:pPr>
    <w:r>
      <w:rPr>
        <w:rStyle w:val="PageNumber"/>
      </w:rPr>
      <w:t>Results</w:t>
    </w:r>
    <w:r>
      <w:tab/>
    </w:r>
    <w:r>
      <w:tab/>
      <w:t xml:space="preserve">Page </w:t>
    </w:r>
    <w:r>
      <w:rPr>
        <w:b/>
        <w:bCs/>
      </w:rPr>
      <w:fldChar w:fldCharType="begin"/>
    </w:r>
    <w:r>
      <w:rPr>
        <w:b/>
        <w:bCs/>
      </w:rPr>
      <w:instrText xml:space="preserve"> PAGE  \* Arabic  \* MERGEFORMAT </w:instrText>
    </w:r>
    <w:r>
      <w:rPr>
        <w:b/>
        <w:bCs/>
      </w:rPr>
      <w:fldChar w:fldCharType="separate"/>
    </w:r>
    <w:r w:rsidR="00DF236E">
      <w:rPr>
        <w:b/>
        <w:bCs/>
        <w:noProof/>
      </w:rPr>
      <w:t>36</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DF236E">
      <w:rPr>
        <w:b/>
        <w:bCs/>
        <w:noProof/>
      </w:rPr>
      <w:t>79</w:t>
    </w:r>
    <w:r>
      <w:rPr>
        <w:b/>
        <w:bCs/>
      </w:rPr>
      <w:fldChar w:fldCharType="end"/>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DE364" w14:textId="5C3266D1" w:rsidR="001E3F44" w:rsidRDefault="001E3F44" w:rsidP="007B6ECE">
    <w:pPr>
      <w:pStyle w:val="Footer"/>
      <w:ind w:right="360"/>
    </w:pPr>
    <w:r>
      <w:rPr>
        <w:rStyle w:val="PageNumber"/>
      </w:rPr>
      <w:t>Discussion</w:t>
    </w:r>
    <w:r>
      <w:tab/>
    </w:r>
    <w:r>
      <w:tab/>
      <w:t xml:space="preserve">Page </w:t>
    </w:r>
    <w:r>
      <w:rPr>
        <w:b/>
        <w:bCs/>
      </w:rPr>
      <w:fldChar w:fldCharType="begin"/>
    </w:r>
    <w:r>
      <w:rPr>
        <w:b/>
        <w:bCs/>
      </w:rPr>
      <w:instrText xml:space="preserve"> PAGE  \* Arabic  \* MERGEFORMAT </w:instrText>
    </w:r>
    <w:r>
      <w:rPr>
        <w:b/>
        <w:bCs/>
      </w:rPr>
      <w:fldChar w:fldCharType="separate"/>
    </w:r>
    <w:r w:rsidR="00DF236E">
      <w:rPr>
        <w:b/>
        <w:bCs/>
        <w:noProof/>
      </w:rPr>
      <w:t>53</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DF236E">
      <w:rPr>
        <w:b/>
        <w:bCs/>
        <w:noProof/>
      </w:rPr>
      <w:t>79</w:t>
    </w:r>
    <w:r>
      <w:rPr>
        <w:b/>
        <w:bCs/>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035B24" w14:textId="77777777" w:rsidR="001E3F44" w:rsidRDefault="001E3F44" w:rsidP="007B6ECE">
      <w:pPr>
        <w:spacing w:line="240" w:lineRule="auto"/>
      </w:pPr>
      <w:r>
        <w:separator/>
      </w:r>
    </w:p>
  </w:footnote>
  <w:footnote w:type="continuationSeparator" w:id="0">
    <w:p w14:paraId="5B2A635A" w14:textId="77777777" w:rsidR="001E3F44" w:rsidRDefault="001E3F44" w:rsidP="007B6ECE">
      <w:pPr>
        <w:spacing w:line="240" w:lineRule="auto"/>
      </w:pPr>
      <w:r>
        <w:continuationSeparator/>
      </w:r>
    </w:p>
  </w:footnote>
  <w:footnote w:id="1">
    <w:p w14:paraId="07FC6305" w14:textId="47CDC01D" w:rsidR="001E3F44" w:rsidRDefault="001E3F44">
      <w:pPr>
        <w:pStyle w:val="FootnoteText"/>
      </w:pPr>
      <w:r w:rsidRPr="00AC0D5A">
        <w:rPr>
          <w:rStyle w:val="FootnoteReference"/>
        </w:rPr>
        <w:footnoteRef/>
      </w:r>
      <w:r>
        <w:t xml:space="preserve"> For the 2015 WSAP, Met allows agencies some flexibility in defining its historical demand as long as it is based on a </w:t>
      </w:r>
      <w:r w:rsidRPr="008220A7">
        <w:t xml:space="preserve">10-year average ending </w:t>
      </w:r>
      <w:r>
        <w:t xml:space="preserve">sometime </w:t>
      </w:r>
      <w:r w:rsidRPr="008220A7">
        <w:t>between 2004 and 2010</w:t>
      </w:r>
      <w:r>
        <w: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60175"/>
    <w:multiLevelType w:val="hybridMultilevel"/>
    <w:tmpl w:val="4C6EAF3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6A58C3"/>
    <w:multiLevelType w:val="hybridMultilevel"/>
    <w:tmpl w:val="FA206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B154CE"/>
    <w:multiLevelType w:val="hybridMultilevel"/>
    <w:tmpl w:val="79E23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D7412D"/>
    <w:multiLevelType w:val="hybridMultilevel"/>
    <w:tmpl w:val="3C26F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F70ED6"/>
    <w:multiLevelType w:val="multilevel"/>
    <w:tmpl w:val="94B6B66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5">
    <w:nsid w:val="1485726D"/>
    <w:multiLevelType w:val="hybridMultilevel"/>
    <w:tmpl w:val="CAEAE66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DD0FCF"/>
    <w:multiLevelType w:val="hybridMultilevel"/>
    <w:tmpl w:val="369A3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483CCC"/>
    <w:multiLevelType w:val="hybridMultilevel"/>
    <w:tmpl w:val="51580C4C"/>
    <w:lvl w:ilvl="0" w:tplc="103E581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0F761E"/>
    <w:multiLevelType w:val="hybridMultilevel"/>
    <w:tmpl w:val="926A729A"/>
    <w:lvl w:ilvl="0" w:tplc="7180B1CC">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50344A"/>
    <w:multiLevelType w:val="multilevel"/>
    <w:tmpl w:val="6254C4B8"/>
    <w:lvl w:ilvl="0">
      <w:start w:val="1"/>
      <w:numFmt w:val="bullet"/>
      <w:lvlText w:val="●"/>
      <w:lvlJc w:val="left"/>
      <w:pPr>
        <w:ind w:left="720" w:firstLine="360"/>
      </w:pPr>
      <w:rPr>
        <w:u w:val="none"/>
      </w:rPr>
    </w:lvl>
    <w:lvl w:ilvl="1">
      <w:start w:val="1"/>
      <w:numFmt w:val="bullet"/>
      <w:lvlText w:val="○"/>
      <w:lvlJc w:val="left"/>
      <w:pPr>
        <w:ind w:left="1440" w:firstLine="1080"/>
      </w:pPr>
      <w:rPr>
        <w:rFonts w:ascii="Arial" w:eastAsia="Arial" w:hAnsi="Arial" w:cs="Arial"/>
        <w:b w:val="0"/>
        <w:i w:val="0"/>
        <w:color w:val="000000"/>
        <w:sz w:val="22"/>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1DC66F6C"/>
    <w:multiLevelType w:val="hybridMultilevel"/>
    <w:tmpl w:val="9FD42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3E3F44"/>
    <w:multiLevelType w:val="multilevel"/>
    <w:tmpl w:val="9CDC0A6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22781E23"/>
    <w:multiLevelType w:val="multilevel"/>
    <w:tmpl w:val="DCF68B0E"/>
    <w:lvl w:ilvl="0">
      <w:start w:val="1"/>
      <w:numFmt w:val="bullet"/>
      <w:lvlText w:val="●"/>
      <w:lvlJc w:val="left"/>
      <w:pPr>
        <w:ind w:left="720" w:firstLine="360"/>
      </w:pPr>
      <w:rPr>
        <w:u w:val="none"/>
      </w:rPr>
    </w:lvl>
    <w:lvl w:ilvl="1">
      <w:start w:val="1"/>
      <w:numFmt w:val="bullet"/>
      <w:lvlText w:val="○"/>
      <w:lvlJc w:val="left"/>
      <w:pPr>
        <w:ind w:left="1440" w:firstLine="1080"/>
      </w:pPr>
      <w:rPr>
        <w:rFonts w:ascii="Arial" w:eastAsia="Arial" w:hAnsi="Arial" w:cs="Arial"/>
        <w:b w:val="0"/>
        <w:i w:val="0"/>
        <w:color w:val="000000"/>
        <w:sz w:val="22"/>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23343D6B"/>
    <w:multiLevelType w:val="multilevel"/>
    <w:tmpl w:val="D2D02A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25D108E2"/>
    <w:multiLevelType w:val="hybridMultilevel"/>
    <w:tmpl w:val="F0E28F9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665F8A"/>
    <w:multiLevelType w:val="hybridMultilevel"/>
    <w:tmpl w:val="ED8A4B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E57321"/>
    <w:multiLevelType w:val="multilevel"/>
    <w:tmpl w:val="0D8C2FB4"/>
    <w:lvl w:ilvl="0">
      <w:start w:val="1"/>
      <w:numFmt w:val="decimal"/>
      <w:lvlText w:val="%1."/>
      <w:lvlJc w:val="left"/>
      <w:pPr>
        <w:tabs>
          <w:tab w:val="num" w:pos="432"/>
        </w:tabs>
        <w:ind w:left="0" w:firstLine="0"/>
      </w:pPr>
      <w:rPr>
        <w:rFonts w:hint="default"/>
      </w:rPr>
    </w:lvl>
    <w:lvl w:ilvl="1">
      <w:start w:val="1"/>
      <w:numFmt w:val="decimal"/>
      <w:lvlText w:val="%1.%2"/>
      <w:lvlJc w:val="left"/>
      <w:pPr>
        <w:tabs>
          <w:tab w:val="num" w:pos="288"/>
        </w:tabs>
        <w:ind w:left="0" w:firstLine="0"/>
      </w:pPr>
      <w:rPr>
        <w:rFonts w:hint="default"/>
      </w:rPr>
    </w:lvl>
    <w:lvl w:ilvl="2">
      <w:start w:val="1"/>
      <w:numFmt w:val="decimal"/>
      <w:lvlText w:val="%1.%2.%3"/>
      <w:lvlJc w:val="left"/>
      <w:pPr>
        <w:tabs>
          <w:tab w:val="num" w:pos="360"/>
        </w:tabs>
        <w:ind w:left="0" w:firstLine="0"/>
      </w:pPr>
      <w:rPr>
        <w:rFonts w:hint="default"/>
      </w:rPr>
    </w:lvl>
    <w:lvl w:ilvl="3">
      <w:start w:val="1"/>
      <w:numFmt w:val="decimal"/>
      <w:lvlText w:val="%4."/>
      <w:lvlJc w:val="left"/>
      <w:pPr>
        <w:tabs>
          <w:tab w:val="num" w:pos="288"/>
        </w:tabs>
        <w:ind w:left="0" w:firstLine="0"/>
      </w:pPr>
      <w:rPr>
        <w:rFonts w:hint="default"/>
      </w:rPr>
    </w:lvl>
    <w:lvl w:ilvl="4">
      <w:start w:val="1"/>
      <w:numFmt w:val="lowerLetter"/>
      <w:lvlText w:val="%5."/>
      <w:lvlJc w:val="left"/>
      <w:pPr>
        <w:tabs>
          <w:tab w:val="num" w:pos="288"/>
        </w:tabs>
        <w:ind w:left="0" w:firstLine="0"/>
      </w:pPr>
      <w:rPr>
        <w:rFonts w:hint="default"/>
      </w:rPr>
    </w:lvl>
    <w:lvl w:ilvl="5">
      <w:start w:val="1"/>
      <w:numFmt w:val="lowerRoman"/>
      <w:lvlText w:val="%6."/>
      <w:lvlJc w:val="right"/>
      <w:pPr>
        <w:tabs>
          <w:tab w:val="num" w:pos="288"/>
        </w:tabs>
        <w:ind w:left="0" w:firstLine="0"/>
      </w:pPr>
      <w:rPr>
        <w:rFonts w:hint="default"/>
      </w:rPr>
    </w:lvl>
    <w:lvl w:ilvl="6">
      <w:start w:val="1"/>
      <w:numFmt w:val="decimal"/>
      <w:lvlText w:val="%7."/>
      <w:lvlJc w:val="left"/>
      <w:pPr>
        <w:tabs>
          <w:tab w:val="num" w:pos="288"/>
        </w:tabs>
        <w:ind w:left="0" w:firstLine="0"/>
      </w:pPr>
      <w:rPr>
        <w:rFonts w:hint="default"/>
      </w:rPr>
    </w:lvl>
    <w:lvl w:ilvl="7">
      <w:start w:val="1"/>
      <w:numFmt w:val="lowerLetter"/>
      <w:lvlText w:val="%8."/>
      <w:lvlJc w:val="left"/>
      <w:pPr>
        <w:tabs>
          <w:tab w:val="num" w:pos="288"/>
        </w:tabs>
        <w:ind w:left="0" w:firstLine="0"/>
      </w:pPr>
      <w:rPr>
        <w:rFonts w:hint="default"/>
      </w:rPr>
    </w:lvl>
    <w:lvl w:ilvl="8">
      <w:start w:val="1"/>
      <w:numFmt w:val="lowerRoman"/>
      <w:lvlText w:val="%9."/>
      <w:lvlJc w:val="right"/>
      <w:pPr>
        <w:tabs>
          <w:tab w:val="num" w:pos="288"/>
        </w:tabs>
        <w:ind w:left="0" w:firstLine="0"/>
      </w:pPr>
      <w:rPr>
        <w:rFonts w:hint="default"/>
      </w:rPr>
    </w:lvl>
  </w:abstractNum>
  <w:abstractNum w:abstractNumId="17">
    <w:nsid w:val="2BB622AF"/>
    <w:multiLevelType w:val="multilevel"/>
    <w:tmpl w:val="48401B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17A4291"/>
    <w:multiLevelType w:val="multilevel"/>
    <w:tmpl w:val="B67426DE"/>
    <w:styleLink w:val="Headings"/>
    <w:lvl w:ilvl="0">
      <w:start w:val="1"/>
      <w:numFmt w:val="decimal"/>
      <w:pStyle w:val="Heading1"/>
      <w:lvlText w:val="%1."/>
      <w:lvlJc w:val="left"/>
      <w:pPr>
        <w:tabs>
          <w:tab w:val="num" w:pos="432"/>
        </w:tabs>
        <w:ind w:left="0" w:firstLine="0"/>
      </w:pPr>
      <w:rPr>
        <w:rFonts w:hint="default"/>
      </w:rPr>
    </w:lvl>
    <w:lvl w:ilvl="1">
      <w:start w:val="1"/>
      <w:numFmt w:val="decimal"/>
      <w:pStyle w:val="Heading2"/>
      <w:lvlText w:val="%1.%2"/>
      <w:lvlJc w:val="left"/>
      <w:pPr>
        <w:tabs>
          <w:tab w:val="num" w:pos="288"/>
        </w:tabs>
        <w:ind w:left="0" w:firstLine="0"/>
      </w:pPr>
      <w:rPr>
        <w:rFonts w:hint="default"/>
      </w:rPr>
    </w:lvl>
    <w:lvl w:ilvl="2">
      <w:start w:val="1"/>
      <w:numFmt w:val="decimal"/>
      <w:pStyle w:val="Heading3"/>
      <w:lvlText w:val="%1.%2.%3"/>
      <w:lvlJc w:val="left"/>
      <w:pPr>
        <w:tabs>
          <w:tab w:val="num" w:pos="360"/>
        </w:tabs>
        <w:ind w:left="0" w:firstLine="0"/>
      </w:pPr>
      <w:rPr>
        <w:rFonts w:hint="default"/>
      </w:rPr>
    </w:lvl>
    <w:lvl w:ilvl="3">
      <w:start w:val="1"/>
      <w:numFmt w:val="decimal"/>
      <w:lvlText w:val="%4."/>
      <w:lvlJc w:val="left"/>
      <w:pPr>
        <w:tabs>
          <w:tab w:val="num" w:pos="288"/>
        </w:tabs>
        <w:ind w:left="0" w:firstLine="0"/>
      </w:pPr>
      <w:rPr>
        <w:rFonts w:hint="default"/>
      </w:rPr>
    </w:lvl>
    <w:lvl w:ilvl="4">
      <w:start w:val="1"/>
      <w:numFmt w:val="lowerLetter"/>
      <w:lvlText w:val="%5."/>
      <w:lvlJc w:val="left"/>
      <w:pPr>
        <w:tabs>
          <w:tab w:val="num" w:pos="288"/>
        </w:tabs>
        <w:ind w:left="0" w:firstLine="0"/>
      </w:pPr>
      <w:rPr>
        <w:rFonts w:hint="default"/>
      </w:rPr>
    </w:lvl>
    <w:lvl w:ilvl="5">
      <w:start w:val="1"/>
      <w:numFmt w:val="lowerRoman"/>
      <w:lvlText w:val="%6."/>
      <w:lvlJc w:val="right"/>
      <w:pPr>
        <w:tabs>
          <w:tab w:val="num" w:pos="288"/>
        </w:tabs>
        <w:ind w:left="0" w:firstLine="0"/>
      </w:pPr>
      <w:rPr>
        <w:rFonts w:hint="default"/>
      </w:rPr>
    </w:lvl>
    <w:lvl w:ilvl="6">
      <w:start w:val="1"/>
      <w:numFmt w:val="decimal"/>
      <w:lvlText w:val="%7."/>
      <w:lvlJc w:val="left"/>
      <w:pPr>
        <w:tabs>
          <w:tab w:val="num" w:pos="288"/>
        </w:tabs>
        <w:ind w:left="0" w:firstLine="0"/>
      </w:pPr>
      <w:rPr>
        <w:rFonts w:hint="default"/>
      </w:rPr>
    </w:lvl>
    <w:lvl w:ilvl="7">
      <w:start w:val="1"/>
      <w:numFmt w:val="lowerLetter"/>
      <w:lvlText w:val="%8."/>
      <w:lvlJc w:val="left"/>
      <w:pPr>
        <w:tabs>
          <w:tab w:val="num" w:pos="288"/>
        </w:tabs>
        <w:ind w:left="0" w:firstLine="0"/>
      </w:pPr>
      <w:rPr>
        <w:rFonts w:hint="default"/>
      </w:rPr>
    </w:lvl>
    <w:lvl w:ilvl="8">
      <w:start w:val="1"/>
      <w:numFmt w:val="lowerRoman"/>
      <w:lvlText w:val="%9."/>
      <w:lvlJc w:val="right"/>
      <w:pPr>
        <w:tabs>
          <w:tab w:val="num" w:pos="288"/>
        </w:tabs>
        <w:ind w:left="0" w:firstLine="0"/>
      </w:pPr>
      <w:rPr>
        <w:rFonts w:hint="default"/>
      </w:rPr>
    </w:lvl>
  </w:abstractNum>
  <w:abstractNum w:abstractNumId="19">
    <w:nsid w:val="35540E20"/>
    <w:multiLevelType w:val="hybridMultilevel"/>
    <w:tmpl w:val="34C01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B8467F"/>
    <w:multiLevelType w:val="hybridMultilevel"/>
    <w:tmpl w:val="8BCC8A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7979C1"/>
    <w:multiLevelType w:val="multilevel"/>
    <w:tmpl w:val="B67426DE"/>
    <w:numStyleLink w:val="Headings"/>
  </w:abstractNum>
  <w:abstractNum w:abstractNumId="22">
    <w:nsid w:val="423402FA"/>
    <w:multiLevelType w:val="multilevel"/>
    <w:tmpl w:val="E3AA798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nsid w:val="44A83372"/>
    <w:multiLevelType w:val="hybridMultilevel"/>
    <w:tmpl w:val="CB34464C"/>
    <w:lvl w:ilvl="0" w:tplc="4914E73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4D2D44"/>
    <w:multiLevelType w:val="multilevel"/>
    <w:tmpl w:val="7F321C90"/>
    <w:lvl w:ilvl="0">
      <w:start w:val="1"/>
      <w:numFmt w:val="bullet"/>
      <w:lvlText w:val="●"/>
      <w:lvlJc w:val="left"/>
      <w:pPr>
        <w:ind w:left="719" w:firstLine="360"/>
      </w:pPr>
      <w:rPr>
        <w:u w:val="none"/>
      </w:rPr>
    </w:lvl>
    <w:lvl w:ilvl="1">
      <w:start w:val="1"/>
      <w:numFmt w:val="bullet"/>
      <w:lvlText w:val="○"/>
      <w:lvlJc w:val="left"/>
      <w:pPr>
        <w:ind w:left="1439" w:firstLine="1080"/>
      </w:pPr>
      <w:rPr>
        <w:rFonts w:ascii="Arial" w:eastAsia="Arial" w:hAnsi="Arial" w:cs="Arial"/>
        <w:b/>
        <w:i w:val="0"/>
        <w:color w:val="000000"/>
        <w:sz w:val="22"/>
        <w:u w:val="none"/>
      </w:rPr>
    </w:lvl>
    <w:lvl w:ilvl="2">
      <w:start w:val="1"/>
      <w:numFmt w:val="bullet"/>
      <w:lvlText w:val="■"/>
      <w:lvlJc w:val="left"/>
      <w:pPr>
        <w:ind w:left="2159" w:firstLine="1800"/>
      </w:pPr>
      <w:rPr>
        <w:u w:val="none"/>
      </w:rPr>
    </w:lvl>
    <w:lvl w:ilvl="3">
      <w:start w:val="1"/>
      <w:numFmt w:val="bullet"/>
      <w:lvlText w:val="●"/>
      <w:lvlJc w:val="left"/>
      <w:pPr>
        <w:ind w:left="2879" w:firstLine="2520"/>
      </w:pPr>
      <w:rPr>
        <w:u w:val="none"/>
      </w:rPr>
    </w:lvl>
    <w:lvl w:ilvl="4">
      <w:start w:val="1"/>
      <w:numFmt w:val="bullet"/>
      <w:lvlText w:val="○"/>
      <w:lvlJc w:val="left"/>
      <w:pPr>
        <w:ind w:left="3599" w:firstLine="3240"/>
      </w:pPr>
      <w:rPr>
        <w:u w:val="none"/>
      </w:rPr>
    </w:lvl>
    <w:lvl w:ilvl="5">
      <w:start w:val="1"/>
      <w:numFmt w:val="bullet"/>
      <w:lvlText w:val="■"/>
      <w:lvlJc w:val="left"/>
      <w:pPr>
        <w:ind w:left="4319" w:firstLine="3960"/>
      </w:pPr>
      <w:rPr>
        <w:u w:val="none"/>
      </w:rPr>
    </w:lvl>
    <w:lvl w:ilvl="6">
      <w:start w:val="1"/>
      <w:numFmt w:val="bullet"/>
      <w:lvlText w:val="●"/>
      <w:lvlJc w:val="left"/>
      <w:pPr>
        <w:ind w:left="5039" w:firstLine="4680"/>
      </w:pPr>
      <w:rPr>
        <w:u w:val="none"/>
      </w:rPr>
    </w:lvl>
    <w:lvl w:ilvl="7">
      <w:start w:val="1"/>
      <w:numFmt w:val="bullet"/>
      <w:lvlText w:val="○"/>
      <w:lvlJc w:val="left"/>
      <w:pPr>
        <w:ind w:left="5759" w:firstLine="5400"/>
      </w:pPr>
      <w:rPr>
        <w:u w:val="none"/>
      </w:rPr>
    </w:lvl>
    <w:lvl w:ilvl="8">
      <w:start w:val="1"/>
      <w:numFmt w:val="bullet"/>
      <w:lvlText w:val="■"/>
      <w:lvlJc w:val="left"/>
      <w:pPr>
        <w:ind w:left="6479" w:firstLine="6120"/>
      </w:pPr>
      <w:rPr>
        <w:u w:val="none"/>
      </w:rPr>
    </w:lvl>
  </w:abstractNum>
  <w:abstractNum w:abstractNumId="25">
    <w:nsid w:val="591B3A8F"/>
    <w:multiLevelType w:val="hybridMultilevel"/>
    <w:tmpl w:val="C3820B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BB156BD"/>
    <w:multiLevelType w:val="hybridMultilevel"/>
    <w:tmpl w:val="A6B038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D776B77"/>
    <w:multiLevelType w:val="hybridMultilevel"/>
    <w:tmpl w:val="F564B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4052C4"/>
    <w:multiLevelType w:val="hybridMultilevel"/>
    <w:tmpl w:val="D5247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7E5FF6"/>
    <w:multiLevelType w:val="hybridMultilevel"/>
    <w:tmpl w:val="50B6A478"/>
    <w:lvl w:ilvl="0" w:tplc="2312D156">
      <w:start w:val="1"/>
      <w:numFmt w:val="bullet"/>
      <w:lvlText w:val="•"/>
      <w:lvlJc w:val="left"/>
      <w:pPr>
        <w:tabs>
          <w:tab w:val="num" w:pos="720"/>
        </w:tabs>
        <w:ind w:left="720" w:hanging="360"/>
      </w:pPr>
      <w:rPr>
        <w:rFonts w:ascii="Arial" w:hAnsi="Arial" w:hint="default"/>
      </w:rPr>
    </w:lvl>
    <w:lvl w:ilvl="1" w:tplc="5E7AED38" w:tentative="1">
      <w:start w:val="1"/>
      <w:numFmt w:val="bullet"/>
      <w:lvlText w:val="•"/>
      <w:lvlJc w:val="left"/>
      <w:pPr>
        <w:tabs>
          <w:tab w:val="num" w:pos="1440"/>
        </w:tabs>
        <w:ind w:left="1440" w:hanging="360"/>
      </w:pPr>
      <w:rPr>
        <w:rFonts w:ascii="Arial" w:hAnsi="Arial" w:hint="default"/>
      </w:rPr>
    </w:lvl>
    <w:lvl w:ilvl="2" w:tplc="2836EBB6" w:tentative="1">
      <w:start w:val="1"/>
      <w:numFmt w:val="bullet"/>
      <w:lvlText w:val="•"/>
      <w:lvlJc w:val="left"/>
      <w:pPr>
        <w:tabs>
          <w:tab w:val="num" w:pos="2160"/>
        </w:tabs>
        <w:ind w:left="2160" w:hanging="360"/>
      </w:pPr>
      <w:rPr>
        <w:rFonts w:ascii="Arial" w:hAnsi="Arial" w:hint="default"/>
      </w:rPr>
    </w:lvl>
    <w:lvl w:ilvl="3" w:tplc="5936E40E" w:tentative="1">
      <w:start w:val="1"/>
      <w:numFmt w:val="bullet"/>
      <w:lvlText w:val="•"/>
      <w:lvlJc w:val="left"/>
      <w:pPr>
        <w:tabs>
          <w:tab w:val="num" w:pos="2880"/>
        </w:tabs>
        <w:ind w:left="2880" w:hanging="360"/>
      </w:pPr>
      <w:rPr>
        <w:rFonts w:ascii="Arial" w:hAnsi="Arial" w:hint="default"/>
      </w:rPr>
    </w:lvl>
    <w:lvl w:ilvl="4" w:tplc="8DF0C34E" w:tentative="1">
      <w:start w:val="1"/>
      <w:numFmt w:val="bullet"/>
      <w:lvlText w:val="•"/>
      <w:lvlJc w:val="left"/>
      <w:pPr>
        <w:tabs>
          <w:tab w:val="num" w:pos="3600"/>
        </w:tabs>
        <w:ind w:left="3600" w:hanging="360"/>
      </w:pPr>
      <w:rPr>
        <w:rFonts w:ascii="Arial" w:hAnsi="Arial" w:hint="default"/>
      </w:rPr>
    </w:lvl>
    <w:lvl w:ilvl="5" w:tplc="3BAA37A4" w:tentative="1">
      <w:start w:val="1"/>
      <w:numFmt w:val="bullet"/>
      <w:lvlText w:val="•"/>
      <w:lvlJc w:val="left"/>
      <w:pPr>
        <w:tabs>
          <w:tab w:val="num" w:pos="4320"/>
        </w:tabs>
        <w:ind w:left="4320" w:hanging="360"/>
      </w:pPr>
      <w:rPr>
        <w:rFonts w:ascii="Arial" w:hAnsi="Arial" w:hint="default"/>
      </w:rPr>
    </w:lvl>
    <w:lvl w:ilvl="6" w:tplc="133C66BC" w:tentative="1">
      <w:start w:val="1"/>
      <w:numFmt w:val="bullet"/>
      <w:lvlText w:val="•"/>
      <w:lvlJc w:val="left"/>
      <w:pPr>
        <w:tabs>
          <w:tab w:val="num" w:pos="5040"/>
        </w:tabs>
        <w:ind w:left="5040" w:hanging="360"/>
      </w:pPr>
      <w:rPr>
        <w:rFonts w:ascii="Arial" w:hAnsi="Arial" w:hint="default"/>
      </w:rPr>
    </w:lvl>
    <w:lvl w:ilvl="7" w:tplc="A22E4204" w:tentative="1">
      <w:start w:val="1"/>
      <w:numFmt w:val="bullet"/>
      <w:lvlText w:val="•"/>
      <w:lvlJc w:val="left"/>
      <w:pPr>
        <w:tabs>
          <w:tab w:val="num" w:pos="5760"/>
        </w:tabs>
        <w:ind w:left="5760" w:hanging="360"/>
      </w:pPr>
      <w:rPr>
        <w:rFonts w:ascii="Arial" w:hAnsi="Arial" w:hint="default"/>
      </w:rPr>
    </w:lvl>
    <w:lvl w:ilvl="8" w:tplc="264CA08A" w:tentative="1">
      <w:start w:val="1"/>
      <w:numFmt w:val="bullet"/>
      <w:lvlText w:val="•"/>
      <w:lvlJc w:val="left"/>
      <w:pPr>
        <w:tabs>
          <w:tab w:val="num" w:pos="6480"/>
        </w:tabs>
        <w:ind w:left="6480" w:hanging="360"/>
      </w:pPr>
      <w:rPr>
        <w:rFonts w:ascii="Arial" w:hAnsi="Arial" w:hint="default"/>
      </w:rPr>
    </w:lvl>
  </w:abstractNum>
  <w:abstractNum w:abstractNumId="30">
    <w:nsid w:val="66D54694"/>
    <w:multiLevelType w:val="hybridMultilevel"/>
    <w:tmpl w:val="E0A24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E550DC0"/>
    <w:multiLevelType w:val="hybridMultilevel"/>
    <w:tmpl w:val="5B88C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2822B6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73D21AA7"/>
    <w:multiLevelType w:val="hybridMultilevel"/>
    <w:tmpl w:val="4CC47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49F396B"/>
    <w:multiLevelType w:val="hybridMultilevel"/>
    <w:tmpl w:val="08446470"/>
    <w:lvl w:ilvl="0" w:tplc="990E3A94">
      <w:start w:val="1"/>
      <w:numFmt w:val="bullet"/>
      <w:lvlText w:val="•"/>
      <w:lvlJc w:val="left"/>
      <w:pPr>
        <w:tabs>
          <w:tab w:val="num" w:pos="720"/>
        </w:tabs>
        <w:ind w:left="720" w:hanging="360"/>
      </w:pPr>
      <w:rPr>
        <w:rFonts w:ascii="Arial" w:hAnsi="Arial" w:hint="default"/>
      </w:rPr>
    </w:lvl>
    <w:lvl w:ilvl="1" w:tplc="A1687EC0">
      <w:start w:val="706"/>
      <w:numFmt w:val="bullet"/>
      <w:lvlText w:val="•"/>
      <w:lvlJc w:val="left"/>
      <w:pPr>
        <w:tabs>
          <w:tab w:val="num" w:pos="1440"/>
        </w:tabs>
        <w:ind w:left="1440" w:hanging="360"/>
      </w:pPr>
      <w:rPr>
        <w:rFonts w:ascii="Arial" w:hAnsi="Arial" w:hint="default"/>
      </w:rPr>
    </w:lvl>
    <w:lvl w:ilvl="2" w:tplc="F5F2F414" w:tentative="1">
      <w:start w:val="1"/>
      <w:numFmt w:val="bullet"/>
      <w:lvlText w:val="•"/>
      <w:lvlJc w:val="left"/>
      <w:pPr>
        <w:tabs>
          <w:tab w:val="num" w:pos="2160"/>
        </w:tabs>
        <w:ind w:left="2160" w:hanging="360"/>
      </w:pPr>
      <w:rPr>
        <w:rFonts w:ascii="Arial" w:hAnsi="Arial" w:hint="default"/>
      </w:rPr>
    </w:lvl>
    <w:lvl w:ilvl="3" w:tplc="6F2A1528" w:tentative="1">
      <w:start w:val="1"/>
      <w:numFmt w:val="bullet"/>
      <w:lvlText w:val="•"/>
      <w:lvlJc w:val="left"/>
      <w:pPr>
        <w:tabs>
          <w:tab w:val="num" w:pos="2880"/>
        </w:tabs>
        <w:ind w:left="2880" w:hanging="360"/>
      </w:pPr>
      <w:rPr>
        <w:rFonts w:ascii="Arial" w:hAnsi="Arial" w:hint="default"/>
      </w:rPr>
    </w:lvl>
    <w:lvl w:ilvl="4" w:tplc="0922AA66" w:tentative="1">
      <w:start w:val="1"/>
      <w:numFmt w:val="bullet"/>
      <w:lvlText w:val="•"/>
      <w:lvlJc w:val="left"/>
      <w:pPr>
        <w:tabs>
          <w:tab w:val="num" w:pos="3600"/>
        </w:tabs>
        <w:ind w:left="3600" w:hanging="360"/>
      </w:pPr>
      <w:rPr>
        <w:rFonts w:ascii="Arial" w:hAnsi="Arial" w:hint="default"/>
      </w:rPr>
    </w:lvl>
    <w:lvl w:ilvl="5" w:tplc="9E04976A" w:tentative="1">
      <w:start w:val="1"/>
      <w:numFmt w:val="bullet"/>
      <w:lvlText w:val="•"/>
      <w:lvlJc w:val="left"/>
      <w:pPr>
        <w:tabs>
          <w:tab w:val="num" w:pos="4320"/>
        </w:tabs>
        <w:ind w:left="4320" w:hanging="360"/>
      </w:pPr>
      <w:rPr>
        <w:rFonts w:ascii="Arial" w:hAnsi="Arial" w:hint="default"/>
      </w:rPr>
    </w:lvl>
    <w:lvl w:ilvl="6" w:tplc="35489332" w:tentative="1">
      <w:start w:val="1"/>
      <w:numFmt w:val="bullet"/>
      <w:lvlText w:val="•"/>
      <w:lvlJc w:val="left"/>
      <w:pPr>
        <w:tabs>
          <w:tab w:val="num" w:pos="5040"/>
        </w:tabs>
        <w:ind w:left="5040" w:hanging="360"/>
      </w:pPr>
      <w:rPr>
        <w:rFonts w:ascii="Arial" w:hAnsi="Arial" w:hint="default"/>
      </w:rPr>
    </w:lvl>
    <w:lvl w:ilvl="7" w:tplc="88CEE916" w:tentative="1">
      <w:start w:val="1"/>
      <w:numFmt w:val="bullet"/>
      <w:lvlText w:val="•"/>
      <w:lvlJc w:val="left"/>
      <w:pPr>
        <w:tabs>
          <w:tab w:val="num" w:pos="5760"/>
        </w:tabs>
        <w:ind w:left="5760" w:hanging="360"/>
      </w:pPr>
      <w:rPr>
        <w:rFonts w:ascii="Arial" w:hAnsi="Arial" w:hint="default"/>
      </w:rPr>
    </w:lvl>
    <w:lvl w:ilvl="8" w:tplc="7D5EFF92" w:tentative="1">
      <w:start w:val="1"/>
      <w:numFmt w:val="bullet"/>
      <w:lvlText w:val="•"/>
      <w:lvlJc w:val="left"/>
      <w:pPr>
        <w:tabs>
          <w:tab w:val="num" w:pos="6480"/>
        </w:tabs>
        <w:ind w:left="6480" w:hanging="360"/>
      </w:pPr>
      <w:rPr>
        <w:rFonts w:ascii="Arial" w:hAnsi="Arial" w:hint="default"/>
      </w:rPr>
    </w:lvl>
  </w:abstractNum>
  <w:abstractNum w:abstractNumId="35">
    <w:nsid w:val="766F5AAD"/>
    <w:multiLevelType w:val="hybridMultilevel"/>
    <w:tmpl w:val="DDEC2760"/>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C867293"/>
    <w:multiLevelType w:val="multilevel"/>
    <w:tmpl w:val="73D8AF6E"/>
    <w:lvl w:ilvl="0">
      <w:start w:val="1"/>
      <w:numFmt w:val="bullet"/>
      <w:lvlText w:val="●"/>
      <w:lvlJc w:val="left"/>
      <w:pPr>
        <w:ind w:left="359" w:firstLine="360"/>
      </w:pPr>
      <w:rPr>
        <w:u w:val="none"/>
      </w:rPr>
    </w:lvl>
    <w:lvl w:ilvl="1">
      <w:start w:val="1"/>
      <w:numFmt w:val="bullet"/>
      <w:lvlText w:val="○"/>
      <w:lvlJc w:val="left"/>
      <w:pPr>
        <w:ind w:left="1079" w:firstLine="1080"/>
      </w:pPr>
      <w:rPr>
        <w:rFonts w:ascii="Arial" w:eastAsia="Arial" w:hAnsi="Arial" w:cs="Arial"/>
        <w:b w:val="0"/>
        <w:i w:val="0"/>
        <w:color w:val="000000"/>
        <w:sz w:val="22"/>
        <w:u w:val="none"/>
      </w:rPr>
    </w:lvl>
    <w:lvl w:ilvl="2">
      <w:start w:val="1"/>
      <w:numFmt w:val="bullet"/>
      <w:lvlText w:val="■"/>
      <w:lvlJc w:val="left"/>
      <w:pPr>
        <w:ind w:left="1799" w:firstLine="1800"/>
      </w:pPr>
      <w:rPr>
        <w:rFonts w:ascii="Arial" w:eastAsia="Arial" w:hAnsi="Arial" w:cs="Arial"/>
        <w:b w:val="0"/>
        <w:i w:val="0"/>
        <w:color w:val="000000"/>
        <w:sz w:val="22"/>
        <w:u w:val="none"/>
      </w:rPr>
    </w:lvl>
    <w:lvl w:ilvl="3">
      <w:start w:val="1"/>
      <w:numFmt w:val="bullet"/>
      <w:lvlText w:val="●"/>
      <w:lvlJc w:val="left"/>
      <w:pPr>
        <w:ind w:left="2519" w:firstLine="2520"/>
      </w:pPr>
      <w:rPr>
        <w:u w:val="none"/>
      </w:rPr>
    </w:lvl>
    <w:lvl w:ilvl="4">
      <w:start w:val="1"/>
      <w:numFmt w:val="bullet"/>
      <w:lvlText w:val="○"/>
      <w:lvlJc w:val="left"/>
      <w:pPr>
        <w:ind w:left="3239" w:firstLine="3240"/>
      </w:pPr>
      <w:rPr>
        <w:u w:val="none"/>
      </w:rPr>
    </w:lvl>
    <w:lvl w:ilvl="5">
      <w:start w:val="1"/>
      <w:numFmt w:val="bullet"/>
      <w:lvlText w:val="■"/>
      <w:lvlJc w:val="left"/>
      <w:pPr>
        <w:ind w:left="3959" w:firstLine="3960"/>
      </w:pPr>
      <w:rPr>
        <w:u w:val="none"/>
      </w:rPr>
    </w:lvl>
    <w:lvl w:ilvl="6">
      <w:start w:val="1"/>
      <w:numFmt w:val="bullet"/>
      <w:lvlText w:val="●"/>
      <w:lvlJc w:val="left"/>
      <w:pPr>
        <w:ind w:left="4679" w:firstLine="4680"/>
      </w:pPr>
      <w:rPr>
        <w:u w:val="none"/>
      </w:rPr>
    </w:lvl>
    <w:lvl w:ilvl="7">
      <w:start w:val="1"/>
      <w:numFmt w:val="bullet"/>
      <w:lvlText w:val="○"/>
      <w:lvlJc w:val="left"/>
      <w:pPr>
        <w:ind w:left="5399" w:firstLine="5400"/>
      </w:pPr>
      <w:rPr>
        <w:u w:val="none"/>
      </w:rPr>
    </w:lvl>
    <w:lvl w:ilvl="8">
      <w:start w:val="1"/>
      <w:numFmt w:val="bullet"/>
      <w:lvlText w:val="■"/>
      <w:lvlJc w:val="left"/>
      <w:pPr>
        <w:ind w:left="6119" w:firstLine="6120"/>
      </w:pPr>
      <w:rPr>
        <w:u w:val="none"/>
      </w:rPr>
    </w:lvl>
  </w:abstractNum>
  <w:num w:numId="1">
    <w:abstractNumId w:val="36"/>
  </w:num>
  <w:num w:numId="2">
    <w:abstractNumId w:val="24"/>
  </w:num>
  <w:num w:numId="3">
    <w:abstractNumId w:val="9"/>
  </w:num>
  <w:num w:numId="4">
    <w:abstractNumId w:val="13"/>
  </w:num>
  <w:num w:numId="5">
    <w:abstractNumId w:val="11"/>
  </w:num>
  <w:num w:numId="6">
    <w:abstractNumId w:val="12"/>
  </w:num>
  <w:num w:numId="7">
    <w:abstractNumId w:val="4"/>
  </w:num>
  <w:num w:numId="8">
    <w:abstractNumId w:val="22"/>
  </w:num>
  <w:num w:numId="9">
    <w:abstractNumId w:val="35"/>
  </w:num>
  <w:num w:numId="10">
    <w:abstractNumId w:val="6"/>
  </w:num>
  <w:num w:numId="11">
    <w:abstractNumId w:val="28"/>
  </w:num>
  <w:num w:numId="12">
    <w:abstractNumId w:val="27"/>
  </w:num>
  <w:num w:numId="13">
    <w:abstractNumId w:val="32"/>
  </w:num>
  <w:num w:numId="14">
    <w:abstractNumId w:val="0"/>
  </w:num>
  <w:num w:numId="15">
    <w:abstractNumId w:val="30"/>
  </w:num>
  <w:num w:numId="16">
    <w:abstractNumId w:val="5"/>
  </w:num>
  <w:num w:numId="17">
    <w:abstractNumId w:val="23"/>
  </w:num>
  <w:num w:numId="18">
    <w:abstractNumId w:val="7"/>
  </w:num>
  <w:num w:numId="19">
    <w:abstractNumId w:val="7"/>
    <w:lvlOverride w:ilvl="0">
      <w:startOverride w:val="1"/>
    </w:lvlOverride>
  </w:num>
  <w:num w:numId="20">
    <w:abstractNumId w:val="7"/>
    <w:lvlOverride w:ilvl="0">
      <w:startOverride w:val="1"/>
    </w:lvlOverride>
  </w:num>
  <w:num w:numId="21">
    <w:abstractNumId w:val="7"/>
  </w:num>
  <w:num w:numId="22">
    <w:abstractNumId w:val="7"/>
    <w:lvlOverride w:ilvl="0">
      <w:startOverride w:val="1"/>
    </w:lvlOverride>
  </w:num>
  <w:num w:numId="23">
    <w:abstractNumId w:val="17"/>
  </w:num>
  <w:num w:numId="24">
    <w:abstractNumId w:val="31"/>
  </w:num>
  <w:num w:numId="25">
    <w:abstractNumId w:val="33"/>
  </w:num>
  <w:num w:numId="26">
    <w:abstractNumId w:val="25"/>
  </w:num>
  <w:num w:numId="27">
    <w:abstractNumId w:val="3"/>
  </w:num>
  <w:num w:numId="28">
    <w:abstractNumId w:val="10"/>
  </w:num>
  <w:num w:numId="29">
    <w:abstractNumId w:val="18"/>
    <w:lvlOverride w:ilvl="1">
      <w:lvl w:ilvl="1">
        <w:start w:val="1"/>
        <w:numFmt w:val="decimal"/>
        <w:pStyle w:val="Heading2"/>
        <w:lvlText w:val="%1.%2"/>
        <w:lvlJc w:val="left"/>
        <w:pPr>
          <w:tabs>
            <w:tab w:val="num" w:pos="288"/>
          </w:tabs>
          <w:ind w:left="0" w:firstLine="0"/>
        </w:pPr>
        <w:rPr>
          <w:rFonts w:hint="default"/>
        </w:rPr>
      </w:lvl>
    </w:lvlOverride>
    <w:lvlOverride w:ilvl="2">
      <w:lvl w:ilvl="2">
        <w:start w:val="1"/>
        <w:numFmt w:val="decimal"/>
        <w:pStyle w:val="Heading3"/>
        <w:lvlText w:val="%1.%2.%3"/>
        <w:lvlJc w:val="left"/>
        <w:pPr>
          <w:tabs>
            <w:tab w:val="num" w:pos="360"/>
          </w:tabs>
          <w:ind w:left="0" w:firstLine="0"/>
        </w:pPr>
        <w:rPr>
          <w:rFonts w:hint="default"/>
        </w:rPr>
      </w:lvl>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16"/>
  </w:num>
  <w:num w:numId="33">
    <w:abstractNumId w:val="2"/>
  </w:num>
  <w:num w:numId="34">
    <w:abstractNumId w:val="19"/>
  </w:num>
  <w:num w:numId="35">
    <w:abstractNumId w:val="14"/>
  </w:num>
  <w:num w:numId="36">
    <w:abstractNumId w:val="26"/>
  </w:num>
  <w:num w:numId="37">
    <w:abstractNumId w:val="8"/>
  </w:num>
  <w:num w:numId="38">
    <w:abstractNumId w:val="1"/>
  </w:num>
  <w:num w:numId="39">
    <w:abstractNumId w:val="18"/>
  </w:num>
  <w:num w:numId="40">
    <w:abstractNumId w:val="34"/>
  </w:num>
  <w:num w:numId="41">
    <w:abstractNumId w:val="29"/>
  </w:num>
  <w:num w:numId="42">
    <w:abstractNumId w:val="20"/>
  </w:num>
  <w:num w:numId="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pos w:val="sectEnd"/>
    <w:numFmt w:val="decimal"/>
    <w:endnote w:id="-1"/>
    <w:endnote w:id="0"/>
  </w:endnotePr>
  <w:compat>
    <w:useFELayout/>
    <w:compatSetting w:name="compatibilityMode" w:uri="http://schemas.microsoft.com/office/word" w:val="14"/>
  </w:compat>
  <w:rsids>
    <w:rsidRoot w:val="00163EE1"/>
    <w:rsid w:val="000002FE"/>
    <w:rsid w:val="00001F25"/>
    <w:rsid w:val="00004D00"/>
    <w:rsid w:val="00015146"/>
    <w:rsid w:val="00017E27"/>
    <w:rsid w:val="0002004E"/>
    <w:rsid w:val="00020EEB"/>
    <w:rsid w:val="0002109E"/>
    <w:rsid w:val="00022A4B"/>
    <w:rsid w:val="00026295"/>
    <w:rsid w:val="00032799"/>
    <w:rsid w:val="0003312C"/>
    <w:rsid w:val="000354DC"/>
    <w:rsid w:val="0003671B"/>
    <w:rsid w:val="0003747A"/>
    <w:rsid w:val="00040442"/>
    <w:rsid w:val="00041E5A"/>
    <w:rsid w:val="00042AD1"/>
    <w:rsid w:val="000431DF"/>
    <w:rsid w:val="00043527"/>
    <w:rsid w:val="00044354"/>
    <w:rsid w:val="00052334"/>
    <w:rsid w:val="00052A70"/>
    <w:rsid w:val="000552B0"/>
    <w:rsid w:val="00057857"/>
    <w:rsid w:val="00061C63"/>
    <w:rsid w:val="0006367E"/>
    <w:rsid w:val="00064004"/>
    <w:rsid w:val="00064154"/>
    <w:rsid w:val="000667D8"/>
    <w:rsid w:val="00070D9A"/>
    <w:rsid w:val="00071D1B"/>
    <w:rsid w:val="00074B5E"/>
    <w:rsid w:val="00074E8C"/>
    <w:rsid w:val="00076214"/>
    <w:rsid w:val="00076B3F"/>
    <w:rsid w:val="00076FA5"/>
    <w:rsid w:val="00077684"/>
    <w:rsid w:val="000802A9"/>
    <w:rsid w:val="00083617"/>
    <w:rsid w:val="00084FE2"/>
    <w:rsid w:val="000911DA"/>
    <w:rsid w:val="00096346"/>
    <w:rsid w:val="00096580"/>
    <w:rsid w:val="00096CAF"/>
    <w:rsid w:val="000970F9"/>
    <w:rsid w:val="000A0980"/>
    <w:rsid w:val="000A2720"/>
    <w:rsid w:val="000A2D99"/>
    <w:rsid w:val="000A6B99"/>
    <w:rsid w:val="000A78E9"/>
    <w:rsid w:val="000A79B8"/>
    <w:rsid w:val="000B33B1"/>
    <w:rsid w:val="000B480E"/>
    <w:rsid w:val="000C44AB"/>
    <w:rsid w:val="000C4969"/>
    <w:rsid w:val="000C567F"/>
    <w:rsid w:val="000C5687"/>
    <w:rsid w:val="000C64A8"/>
    <w:rsid w:val="000D06D8"/>
    <w:rsid w:val="000D30CD"/>
    <w:rsid w:val="000D428C"/>
    <w:rsid w:val="000D6B0E"/>
    <w:rsid w:val="000D76B3"/>
    <w:rsid w:val="000E2C71"/>
    <w:rsid w:val="000E7826"/>
    <w:rsid w:val="000F2DB2"/>
    <w:rsid w:val="000F348A"/>
    <w:rsid w:val="000F36F4"/>
    <w:rsid w:val="000F4117"/>
    <w:rsid w:val="000F513B"/>
    <w:rsid w:val="00100546"/>
    <w:rsid w:val="001010D5"/>
    <w:rsid w:val="00103519"/>
    <w:rsid w:val="0010624F"/>
    <w:rsid w:val="00107CE7"/>
    <w:rsid w:val="00114CC4"/>
    <w:rsid w:val="00126454"/>
    <w:rsid w:val="001279D1"/>
    <w:rsid w:val="00127CA5"/>
    <w:rsid w:val="0013098F"/>
    <w:rsid w:val="0013256E"/>
    <w:rsid w:val="00133956"/>
    <w:rsid w:val="001356A4"/>
    <w:rsid w:val="001378CD"/>
    <w:rsid w:val="00140E69"/>
    <w:rsid w:val="0014385F"/>
    <w:rsid w:val="00144360"/>
    <w:rsid w:val="00144594"/>
    <w:rsid w:val="001466DF"/>
    <w:rsid w:val="0014751C"/>
    <w:rsid w:val="00147DCE"/>
    <w:rsid w:val="0015370A"/>
    <w:rsid w:val="001552AF"/>
    <w:rsid w:val="00156482"/>
    <w:rsid w:val="00156574"/>
    <w:rsid w:val="001573BA"/>
    <w:rsid w:val="00160272"/>
    <w:rsid w:val="00163EE1"/>
    <w:rsid w:val="0016543E"/>
    <w:rsid w:val="00166169"/>
    <w:rsid w:val="00167807"/>
    <w:rsid w:val="00175934"/>
    <w:rsid w:val="00176DC2"/>
    <w:rsid w:val="0017765B"/>
    <w:rsid w:val="00177AA8"/>
    <w:rsid w:val="001801D1"/>
    <w:rsid w:val="0018490D"/>
    <w:rsid w:val="00186838"/>
    <w:rsid w:val="001873FC"/>
    <w:rsid w:val="00187E01"/>
    <w:rsid w:val="00193633"/>
    <w:rsid w:val="00193779"/>
    <w:rsid w:val="001944FE"/>
    <w:rsid w:val="00197D6B"/>
    <w:rsid w:val="001A1A1D"/>
    <w:rsid w:val="001A57E9"/>
    <w:rsid w:val="001A68B8"/>
    <w:rsid w:val="001A73EA"/>
    <w:rsid w:val="001B06F3"/>
    <w:rsid w:val="001B2588"/>
    <w:rsid w:val="001C021D"/>
    <w:rsid w:val="001C32B8"/>
    <w:rsid w:val="001C3523"/>
    <w:rsid w:val="001C3D8E"/>
    <w:rsid w:val="001C5748"/>
    <w:rsid w:val="001D12C4"/>
    <w:rsid w:val="001D1616"/>
    <w:rsid w:val="001D22F4"/>
    <w:rsid w:val="001D3206"/>
    <w:rsid w:val="001D6F20"/>
    <w:rsid w:val="001E3F44"/>
    <w:rsid w:val="001E44BC"/>
    <w:rsid w:val="001E687C"/>
    <w:rsid w:val="001F430C"/>
    <w:rsid w:val="001F5BE1"/>
    <w:rsid w:val="001F7E7E"/>
    <w:rsid w:val="002008E4"/>
    <w:rsid w:val="00200DD2"/>
    <w:rsid w:val="00203474"/>
    <w:rsid w:val="00204661"/>
    <w:rsid w:val="00205042"/>
    <w:rsid w:val="002060C2"/>
    <w:rsid w:val="00211A68"/>
    <w:rsid w:val="00211D4B"/>
    <w:rsid w:val="00212B18"/>
    <w:rsid w:val="0021534E"/>
    <w:rsid w:val="00221103"/>
    <w:rsid w:val="00222EED"/>
    <w:rsid w:val="00225C7C"/>
    <w:rsid w:val="00225DE8"/>
    <w:rsid w:val="00226191"/>
    <w:rsid w:val="002267CC"/>
    <w:rsid w:val="0023097A"/>
    <w:rsid w:val="002313E5"/>
    <w:rsid w:val="00231D26"/>
    <w:rsid w:val="00232287"/>
    <w:rsid w:val="002416A7"/>
    <w:rsid w:val="0024215C"/>
    <w:rsid w:val="00246A87"/>
    <w:rsid w:val="002476BB"/>
    <w:rsid w:val="00252B4F"/>
    <w:rsid w:val="00254B4C"/>
    <w:rsid w:val="002576F6"/>
    <w:rsid w:val="00265FBF"/>
    <w:rsid w:val="002665E5"/>
    <w:rsid w:val="00272272"/>
    <w:rsid w:val="0027242B"/>
    <w:rsid w:val="002727B3"/>
    <w:rsid w:val="00275C9C"/>
    <w:rsid w:val="0028103D"/>
    <w:rsid w:val="002832B1"/>
    <w:rsid w:val="002834C7"/>
    <w:rsid w:val="00283C19"/>
    <w:rsid w:val="00284D28"/>
    <w:rsid w:val="00285F04"/>
    <w:rsid w:val="00286871"/>
    <w:rsid w:val="0028743B"/>
    <w:rsid w:val="00292F2B"/>
    <w:rsid w:val="0029333B"/>
    <w:rsid w:val="00294854"/>
    <w:rsid w:val="00294F58"/>
    <w:rsid w:val="002A0591"/>
    <w:rsid w:val="002A4A9E"/>
    <w:rsid w:val="002A67A8"/>
    <w:rsid w:val="002A785B"/>
    <w:rsid w:val="002A7CFC"/>
    <w:rsid w:val="002B13B9"/>
    <w:rsid w:val="002B1BD4"/>
    <w:rsid w:val="002B4AB2"/>
    <w:rsid w:val="002B606F"/>
    <w:rsid w:val="002C1210"/>
    <w:rsid w:val="002C2D2B"/>
    <w:rsid w:val="002C79BC"/>
    <w:rsid w:val="002D0147"/>
    <w:rsid w:val="002D0FAA"/>
    <w:rsid w:val="002D10E2"/>
    <w:rsid w:val="002D117B"/>
    <w:rsid w:val="002D29BA"/>
    <w:rsid w:val="002D3854"/>
    <w:rsid w:val="002D711E"/>
    <w:rsid w:val="002D77DE"/>
    <w:rsid w:val="002D7855"/>
    <w:rsid w:val="002E06C4"/>
    <w:rsid w:val="002F073E"/>
    <w:rsid w:val="002F0F08"/>
    <w:rsid w:val="002F15F5"/>
    <w:rsid w:val="002F2D46"/>
    <w:rsid w:val="002F46EF"/>
    <w:rsid w:val="002F7E62"/>
    <w:rsid w:val="003012D7"/>
    <w:rsid w:val="00301B75"/>
    <w:rsid w:val="003038E4"/>
    <w:rsid w:val="00307B9F"/>
    <w:rsid w:val="0031340E"/>
    <w:rsid w:val="0031481B"/>
    <w:rsid w:val="003206F6"/>
    <w:rsid w:val="0033293C"/>
    <w:rsid w:val="00332B3B"/>
    <w:rsid w:val="003367FD"/>
    <w:rsid w:val="00344C8C"/>
    <w:rsid w:val="003457D6"/>
    <w:rsid w:val="003458D4"/>
    <w:rsid w:val="00347291"/>
    <w:rsid w:val="0035246E"/>
    <w:rsid w:val="00353419"/>
    <w:rsid w:val="00353D63"/>
    <w:rsid w:val="00355B5B"/>
    <w:rsid w:val="00361A43"/>
    <w:rsid w:val="00361D62"/>
    <w:rsid w:val="00361E98"/>
    <w:rsid w:val="00363F0A"/>
    <w:rsid w:val="00364957"/>
    <w:rsid w:val="00365791"/>
    <w:rsid w:val="00367515"/>
    <w:rsid w:val="00371737"/>
    <w:rsid w:val="00371BB0"/>
    <w:rsid w:val="003730A0"/>
    <w:rsid w:val="003753C0"/>
    <w:rsid w:val="0037572E"/>
    <w:rsid w:val="00376441"/>
    <w:rsid w:val="00387375"/>
    <w:rsid w:val="00392BDC"/>
    <w:rsid w:val="003947DF"/>
    <w:rsid w:val="003973BA"/>
    <w:rsid w:val="003A1761"/>
    <w:rsid w:val="003A1CCB"/>
    <w:rsid w:val="003A264E"/>
    <w:rsid w:val="003A2FA2"/>
    <w:rsid w:val="003A79D6"/>
    <w:rsid w:val="003B0C30"/>
    <w:rsid w:val="003B483F"/>
    <w:rsid w:val="003B73AE"/>
    <w:rsid w:val="003B7A28"/>
    <w:rsid w:val="003B7A36"/>
    <w:rsid w:val="003C5CA7"/>
    <w:rsid w:val="003C5F1D"/>
    <w:rsid w:val="003D1128"/>
    <w:rsid w:val="003D2D94"/>
    <w:rsid w:val="003D4A87"/>
    <w:rsid w:val="003D5DE6"/>
    <w:rsid w:val="003D77BC"/>
    <w:rsid w:val="003E1EFA"/>
    <w:rsid w:val="003E257E"/>
    <w:rsid w:val="003E500D"/>
    <w:rsid w:val="003E75B8"/>
    <w:rsid w:val="003F2112"/>
    <w:rsid w:val="003F24E3"/>
    <w:rsid w:val="003F5272"/>
    <w:rsid w:val="003F7902"/>
    <w:rsid w:val="004028A5"/>
    <w:rsid w:val="00402CAD"/>
    <w:rsid w:val="00411F84"/>
    <w:rsid w:val="00413F43"/>
    <w:rsid w:val="004146E7"/>
    <w:rsid w:val="00415274"/>
    <w:rsid w:val="00415874"/>
    <w:rsid w:val="0042152F"/>
    <w:rsid w:val="00422D73"/>
    <w:rsid w:val="004245D8"/>
    <w:rsid w:val="00424721"/>
    <w:rsid w:val="0042555D"/>
    <w:rsid w:val="00425CD7"/>
    <w:rsid w:val="004279B4"/>
    <w:rsid w:val="00427F20"/>
    <w:rsid w:val="0043148F"/>
    <w:rsid w:val="0043167D"/>
    <w:rsid w:val="004352B4"/>
    <w:rsid w:val="004354FF"/>
    <w:rsid w:val="0044166D"/>
    <w:rsid w:val="004417BB"/>
    <w:rsid w:val="00441ED0"/>
    <w:rsid w:val="00446990"/>
    <w:rsid w:val="00450012"/>
    <w:rsid w:val="00450753"/>
    <w:rsid w:val="00453842"/>
    <w:rsid w:val="0045499C"/>
    <w:rsid w:val="00462130"/>
    <w:rsid w:val="004636CD"/>
    <w:rsid w:val="00474386"/>
    <w:rsid w:val="00482D15"/>
    <w:rsid w:val="00484794"/>
    <w:rsid w:val="004907CB"/>
    <w:rsid w:val="00491895"/>
    <w:rsid w:val="004A3AA1"/>
    <w:rsid w:val="004A4F84"/>
    <w:rsid w:val="004A6925"/>
    <w:rsid w:val="004B1F71"/>
    <w:rsid w:val="004B4B66"/>
    <w:rsid w:val="004B5833"/>
    <w:rsid w:val="004C204F"/>
    <w:rsid w:val="004C38FE"/>
    <w:rsid w:val="004C5B64"/>
    <w:rsid w:val="004C62BD"/>
    <w:rsid w:val="004C6994"/>
    <w:rsid w:val="004D4DC3"/>
    <w:rsid w:val="004D61F1"/>
    <w:rsid w:val="004D6CC0"/>
    <w:rsid w:val="004D7C50"/>
    <w:rsid w:val="004E0CA7"/>
    <w:rsid w:val="004E1A9C"/>
    <w:rsid w:val="004E2C90"/>
    <w:rsid w:val="004E373E"/>
    <w:rsid w:val="004E4D85"/>
    <w:rsid w:val="004E671F"/>
    <w:rsid w:val="004E78D8"/>
    <w:rsid w:val="004E7B58"/>
    <w:rsid w:val="004F3BCC"/>
    <w:rsid w:val="004F6C60"/>
    <w:rsid w:val="004F6E25"/>
    <w:rsid w:val="004F752A"/>
    <w:rsid w:val="0050109A"/>
    <w:rsid w:val="00502E98"/>
    <w:rsid w:val="0050563A"/>
    <w:rsid w:val="00507503"/>
    <w:rsid w:val="00513222"/>
    <w:rsid w:val="005163EE"/>
    <w:rsid w:val="00521D80"/>
    <w:rsid w:val="00524BD8"/>
    <w:rsid w:val="00526796"/>
    <w:rsid w:val="00530F5A"/>
    <w:rsid w:val="00537558"/>
    <w:rsid w:val="00540FC5"/>
    <w:rsid w:val="00543750"/>
    <w:rsid w:val="00543B87"/>
    <w:rsid w:val="00551E1B"/>
    <w:rsid w:val="00555EF6"/>
    <w:rsid w:val="005564BC"/>
    <w:rsid w:val="0055664D"/>
    <w:rsid w:val="00556B14"/>
    <w:rsid w:val="00557470"/>
    <w:rsid w:val="00563826"/>
    <w:rsid w:val="005638EA"/>
    <w:rsid w:val="00564737"/>
    <w:rsid w:val="005657BC"/>
    <w:rsid w:val="00565AC6"/>
    <w:rsid w:val="0057239A"/>
    <w:rsid w:val="005724B9"/>
    <w:rsid w:val="005741F1"/>
    <w:rsid w:val="00582F79"/>
    <w:rsid w:val="0059193F"/>
    <w:rsid w:val="00593A06"/>
    <w:rsid w:val="0059695A"/>
    <w:rsid w:val="005969FC"/>
    <w:rsid w:val="00597704"/>
    <w:rsid w:val="005A0CDC"/>
    <w:rsid w:val="005A312D"/>
    <w:rsid w:val="005A5E1E"/>
    <w:rsid w:val="005A5F3D"/>
    <w:rsid w:val="005B080C"/>
    <w:rsid w:val="005B3959"/>
    <w:rsid w:val="005B57A2"/>
    <w:rsid w:val="005B6603"/>
    <w:rsid w:val="005B6F5C"/>
    <w:rsid w:val="005B7896"/>
    <w:rsid w:val="005C0125"/>
    <w:rsid w:val="005C5866"/>
    <w:rsid w:val="005C5C81"/>
    <w:rsid w:val="005D069C"/>
    <w:rsid w:val="005D0C3B"/>
    <w:rsid w:val="005D1F45"/>
    <w:rsid w:val="005D6386"/>
    <w:rsid w:val="005D7165"/>
    <w:rsid w:val="005D756E"/>
    <w:rsid w:val="005E18DF"/>
    <w:rsid w:val="005E285D"/>
    <w:rsid w:val="005E3C22"/>
    <w:rsid w:val="005E556A"/>
    <w:rsid w:val="005E63ED"/>
    <w:rsid w:val="005F0DBC"/>
    <w:rsid w:val="00605E8B"/>
    <w:rsid w:val="0061184F"/>
    <w:rsid w:val="00612236"/>
    <w:rsid w:val="006122C3"/>
    <w:rsid w:val="0061383D"/>
    <w:rsid w:val="0061487F"/>
    <w:rsid w:val="00615529"/>
    <w:rsid w:val="00631ABA"/>
    <w:rsid w:val="00631C11"/>
    <w:rsid w:val="00631EDD"/>
    <w:rsid w:val="00640119"/>
    <w:rsid w:val="00643471"/>
    <w:rsid w:val="006437A1"/>
    <w:rsid w:val="00647EB8"/>
    <w:rsid w:val="006502F1"/>
    <w:rsid w:val="006504E5"/>
    <w:rsid w:val="00654B16"/>
    <w:rsid w:val="00657215"/>
    <w:rsid w:val="00660B58"/>
    <w:rsid w:val="00666148"/>
    <w:rsid w:val="00672C3F"/>
    <w:rsid w:val="006747AD"/>
    <w:rsid w:val="00680409"/>
    <w:rsid w:val="00681AF7"/>
    <w:rsid w:val="00683E0A"/>
    <w:rsid w:val="00686F45"/>
    <w:rsid w:val="00694E49"/>
    <w:rsid w:val="00696B4C"/>
    <w:rsid w:val="00696E61"/>
    <w:rsid w:val="006A1048"/>
    <w:rsid w:val="006A324E"/>
    <w:rsid w:val="006A3354"/>
    <w:rsid w:val="006A3664"/>
    <w:rsid w:val="006B10F9"/>
    <w:rsid w:val="006B1B30"/>
    <w:rsid w:val="006B2FA7"/>
    <w:rsid w:val="006B398D"/>
    <w:rsid w:val="006B448F"/>
    <w:rsid w:val="006B4680"/>
    <w:rsid w:val="006B5073"/>
    <w:rsid w:val="006B5F9E"/>
    <w:rsid w:val="006B66FE"/>
    <w:rsid w:val="006C2542"/>
    <w:rsid w:val="006C2AEA"/>
    <w:rsid w:val="006C3044"/>
    <w:rsid w:val="006C3902"/>
    <w:rsid w:val="006C4C6D"/>
    <w:rsid w:val="006D4051"/>
    <w:rsid w:val="006E20CC"/>
    <w:rsid w:val="006E417D"/>
    <w:rsid w:val="006E4A1C"/>
    <w:rsid w:val="006E5618"/>
    <w:rsid w:val="006E6338"/>
    <w:rsid w:val="006E63F3"/>
    <w:rsid w:val="006F194B"/>
    <w:rsid w:val="006F1CFC"/>
    <w:rsid w:val="006F4B51"/>
    <w:rsid w:val="006F52E4"/>
    <w:rsid w:val="0070122F"/>
    <w:rsid w:val="007023A5"/>
    <w:rsid w:val="0070318D"/>
    <w:rsid w:val="00704104"/>
    <w:rsid w:val="00704842"/>
    <w:rsid w:val="00706B8F"/>
    <w:rsid w:val="007111E7"/>
    <w:rsid w:val="00711646"/>
    <w:rsid w:val="00717DFC"/>
    <w:rsid w:val="00721D79"/>
    <w:rsid w:val="00725B44"/>
    <w:rsid w:val="00727DB0"/>
    <w:rsid w:val="00730A8C"/>
    <w:rsid w:val="007311AB"/>
    <w:rsid w:val="007318F5"/>
    <w:rsid w:val="00742F8E"/>
    <w:rsid w:val="00744EDF"/>
    <w:rsid w:val="00747B57"/>
    <w:rsid w:val="007507F1"/>
    <w:rsid w:val="00755011"/>
    <w:rsid w:val="00755D2D"/>
    <w:rsid w:val="00763114"/>
    <w:rsid w:val="007636F9"/>
    <w:rsid w:val="007639CE"/>
    <w:rsid w:val="007704BD"/>
    <w:rsid w:val="00775BEF"/>
    <w:rsid w:val="0077773A"/>
    <w:rsid w:val="007866F7"/>
    <w:rsid w:val="00790496"/>
    <w:rsid w:val="00791F42"/>
    <w:rsid w:val="007920D9"/>
    <w:rsid w:val="00793B00"/>
    <w:rsid w:val="00797100"/>
    <w:rsid w:val="007A07FC"/>
    <w:rsid w:val="007A154D"/>
    <w:rsid w:val="007A1613"/>
    <w:rsid w:val="007A3934"/>
    <w:rsid w:val="007A42E9"/>
    <w:rsid w:val="007A4CD2"/>
    <w:rsid w:val="007A557B"/>
    <w:rsid w:val="007A6FCB"/>
    <w:rsid w:val="007A753C"/>
    <w:rsid w:val="007B0E0B"/>
    <w:rsid w:val="007B1764"/>
    <w:rsid w:val="007B50A9"/>
    <w:rsid w:val="007B6674"/>
    <w:rsid w:val="007B6841"/>
    <w:rsid w:val="007B6ECE"/>
    <w:rsid w:val="007B6F00"/>
    <w:rsid w:val="007B7741"/>
    <w:rsid w:val="007B78BE"/>
    <w:rsid w:val="007C086B"/>
    <w:rsid w:val="007C1511"/>
    <w:rsid w:val="007C4F67"/>
    <w:rsid w:val="007C5987"/>
    <w:rsid w:val="007D149E"/>
    <w:rsid w:val="007D1CD0"/>
    <w:rsid w:val="007D64E5"/>
    <w:rsid w:val="007D65D8"/>
    <w:rsid w:val="007D6F83"/>
    <w:rsid w:val="007E023A"/>
    <w:rsid w:val="007E27C0"/>
    <w:rsid w:val="007E381A"/>
    <w:rsid w:val="007E46AA"/>
    <w:rsid w:val="007F11FE"/>
    <w:rsid w:val="007F1480"/>
    <w:rsid w:val="007F38F4"/>
    <w:rsid w:val="007F55A9"/>
    <w:rsid w:val="007F5753"/>
    <w:rsid w:val="007F5AF2"/>
    <w:rsid w:val="007F742F"/>
    <w:rsid w:val="00801583"/>
    <w:rsid w:val="008075ED"/>
    <w:rsid w:val="00807FC9"/>
    <w:rsid w:val="00812450"/>
    <w:rsid w:val="008140B0"/>
    <w:rsid w:val="008154C2"/>
    <w:rsid w:val="008220A7"/>
    <w:rsid w:val="008266DD"/>
    <w:rsid w:val="00830F01"/>
    <w:rsid w:val="00831F79"/>
    <w:rsid w:val="00834DE1"/>
    <w:rsid w:val="00836620"/>
    <w:rsid w:val="00836D6F"/>
    <w:rsid w:val="008370F8"/>
    <w:rsid w:val="008402DE"/>
    <w:rsid w:val="00841554"/>
    <w:rsid w:val="00842F97"/>
    <w:rsid w:val="0084365F"/>
    <w:rsid w:val="00847D7E"/>
    <w:rsid w:val="00850350"/>
    <w:rsid w:val="0085150A"/>
    <w:rsid w:val="008515BC"/>
    <w:rsid w:val="008530AC"/>
    <w:rsid w:val="00853C4A"/>
    <w:rsid w:val="0085469E"/>
    <w:rsid w:val="00855219"/>
    <w:rsid w:val="00860F62"/>
    <w:rsid w:val="0086324B"/>
    <w:rsid w:val="00863542"/>
    <w:rsid w:val="008653DB"/>
    <w:rsid w:val="00866373"/>
    <w:rsid w:val="00866989"/>
    <w:rsid w:val="008721AC"/>
    <w:rsid w:val="00874D3D"/>
    <w:rsid w:val="0087572D"/>
    <w:rsid w:val="00875D6C"/>
    <w:rsid w:val="008774C4"/>
    <w:rsid w:val="00883C3B"/>
    <w:rsid w:val="008848D1"/>
    <w:rsid w:val="00885EA4"/>
    <w:rsid w:val="008941EF"/>
    <w:rsid w:val="00895382"/>
    <w:rsid w:val="0089656B"/>
    <w:rsid w:val="008A0A01"/>
    <w:rsid w:val="008A5954"/>
    <w:rsid w:val="008A7115"/>
    <w:rsid w:val="008B02C7"/>
    <w:rsid w:val="008B04BE"/>
    <w:rsid w:val="008B07FC"/>
    <w:rsid w:val="008B27C0"/>
    <w:rsid w:val="008B3409"/>
    <w:rsid w:val="008B4BAA"/>
    <w:rsid w:val="008B4ECD"/>
    <w:rsid w:val="008B4F32"/>
    <w:rsid w:val="008B556D"/>
    <w:rsid w:val="008C06C3"/>
    <w:rsid w:val="008C1BC8"/>
    <w:rsid w:val="008C3250"/>
    <w:rsid w:val="008C60D1"/>
    <w:rsid w:val="008D5486"/>
    <w:rsid w:val="008D7902"/>
    <w:rsid w:val="008E5552"/>
    <w:rsid w:val="008F0850"/>
    <w:rsid w:val="008F0BF9"/>
    <w:rsid w:val="008F6155"/>
    <w:rsid w:val="008F662E"/>
    <w:rsid w:val="00902141"/>
    <w:rsid w:val="00902151"/>
    <w:rsid w:val="00903B2F"/>
    <w:rsid w:val="00904F71"/>
    <w:rsid w:val="00915EDF"/>
    <w:rsid w:val="0091791E"/>
    <w:rsid w:val="009220E8"/>
    <w:rsid w:val="00923078"/>
    <w:rsid w:val="009300BB"/>
    <w:rsid w:val="009315EB"/>
    <w:rsid w:val="00931A3A"/>
    <w:rsid w:val="00932F34"/>
    <w:rsid w:val="009347CD"/>
    <w:rsid w:val="00937107"/>
    <w:rsid w:val="0093729A"/>
    <w:rsid w:val="00937FA9"/>
    <w:rsid w:val="0094048A"/>
    <w:rsid w:val="00941E6E"/>
    <w:rsid w:val="00947BD2"/>
    <w:rsid w:val="009528B6"/>
    <w:rsid w:val="00954CB5"/>
    <w:rsid w:val="00955309"/>
    <w:rsid w:val="00955A18"/>
    <w:rsid w:val="00957BA0"/>
    <w:rsid w:val="00961E86"/>
    <w:rsid w:val="00962B7A"/>
    <w:rsid w:val="00965CCF"/>
    <w:rsid w:val="00970B7D"/>
    <w:rsid w:val="009766FD"/>
    <w:rsid w:val="00976AED"/>
    <w:rsid w:val="00981E38"/>
    <w:rsid w:val="009871C9"/>
    <w:rsid w:val="009876A6"/>
    <w:rsid w:val="0099092E"/>
    <w:rsid w:val="00990B88"/>
    <w:rsid w:val="009937F1"/>
    <w:rsid w:val="009968BB"/>
    <w:rsid w:val="009A3110"/>
    <w:rsid w:val="009A3B21"/>
    <w:rsid w:val="009A6D46"/>
    <w:rsid w:val="009B7526"/>
    <w:rsid w:val="009B778D"/>
    <w:rsid w:val="009C2E5D"/>
    <w:rsid w:val="009C3004"/>
    <w:rsid w:val="009C542A"/>
    <w:rsid w:val="009C6DFD"/>
    <w:rsid w:val="009C700E"/>
    <w:rsid w:val="009C7651"/>
    <w:rsid w:val="009D1305"/>
    <w:rsid w:val="009D579A"/>
    <w:rsid w:val="009E1416"/>
    <w:rsid w:val="009E154A"/>
    <w:rsid w:val="009E1576"/>
    <w:rsid w:val="009E1695"/>
    <w:rsid w:val="009E33EA"/>
    <w:rsid w:val="009E3705"/>
    <w:rsid w:val="009E6D3E"/>
    <w:rsid w:val="009E772D"/>
    <w:rsid w:val="009F09FC"/>
    <w:rsid w:val="009F1215"/>
    <w:rsid w:val="009F1CB0"/>
    <w:rsid w:val="009F2985"/>
    <w:rsid w:val="009F4ED4"/>
    <w:rsid w:val="009F5D16"/>
    <w:rsid w:val="009F76C6"/>
    <w:rsid w:val="00A06D2F"/>
    <w:rsid w:val="00A130DE"/>
    <w:rsid w:val="00A15E0A"/>
    <w:rsid w:val="00A172DC"/>
    <w:rsid w:val="00A21172"/>
    <w:rsid w:val="00A211CD"/>
    <w:rsid w:val="00A21BB3"/>
    <w:rsid w:val="00A21F31"/>
    <w:rsid w:val="00A2249C"/>
    <w:rsid w:val="00A244F2"/>
    <w:rsid w:val="00A258BC"/>
    <w:rsid w:val="00A26471"/>
    <w:rsid w:val="00A2779F"/>
    <w:rsid w:val="00A3088F"/>
    <w:rsid w:val="00A3209E"/>
    <w:rsid w:val="00A3439C"/>
    <w:rsid w:val="00A42A4B"/>
    <w:rsid w:val="00A44A44"/>
    <w:rsid w:val="00A4728A"/>
    <w:rsid w:val="00A5284F"/>
    <w:rsid w:val="00A52E1A"/>
    <w:rsid w:val="00A55081"/>
    <w:rsid w:val="00A61E00"/>
    <w:rsid w:val="00A628EF"/>
    <w:rsid w:val="00A63B16"/>
    <w:rsid w:val="00A64835"/>
    <w:rsid w:val="00A6533A"/>
    <w:rsid w:val="00A66A2F"/>
    <w:rsid w:val="00A755B1"/>
    <w:rsid w:val="00A76C70"/>
    <w:rsid w:val="00A776A2"/>
    <w:rsid w:val="00A80AEC"/>
    <w:rsid w:val="00A80FB7"/>
    <w:rsid w:val="00A815F9"/>
    <w:rsid w:val="00A84071"/>
    <w:rsid w:val="00A8638B"/>
    <w:rsid w:val="00A959B6"/>
    <w:rsid w:val="00A95EB9"/>
    <w:rsid w:val="00A97BE8"/>
    <w:rsid w:val="00A97F00"/>
    <w:rsid w:val="00AA1375"/>
    <w:rsid w:val="00AA6B2A"/>
    <w:rsid w:val="00AC0682"/>
    <w:rsid w:val="00AC0D5A"/>
    <w:rsid w:val="00AC4EA6"/>
    <w:rsid w:val="00AC5075"/>
    <w:rsid w:val="00AC6202"/>
    <w:rsid w:val="00AC6CA9"/>
    <w:rsid w:val="00AD302D"/>
    <w:rsid w:val="00AD5459"/>
    <w:rsid w:val="00AD565B"/>
    <w:rsid w:val="00AD6B92"/>
    <w:rsid w:val="00AD6ECE"/>
    <w:rsid w:val="00AE006F"/>
    <w:rsid w:val="00AE546B"/>
    <w:rsid w:val="00AE560F"/>
    <w:rsid w:val="00AE6EBF"/>
    <w:rsid w:val="00AF0097"/>
    <w:rsid w:val="00AF07DE"/>
    <w:rsid w:val="00AF3064"/>
    <w:rsid w:val="00AF4277"/>
    <w:rsid w:val="00AF45D4"/>
    <w:rsid w:val="00AF7131"/>
    <w:rsid w:val="00AF7620"/>
    <w:rsid w:val="00AF7771"/>
    <w:rsid w:val="00B00CF8"/>
    <w:rsid w:val="00B01FBE"/>
    <w:rsid w:val="00B03EAA"/>
    <w:rsid w:val="00B049C4"/>
    <w:rsid w:val="00B050B3"/>
    <w:rsid w:val="00B11A93"/>
    <w:rsid w:val="00B133EB"/>
    <w:rsid w:val="00B13F59"/>
    <w:rsid w:val="00B26153"/>
    <w:rsid w:val="00B2737B"/>
    <w:rsid w:val="00B30D65"/>
    <w:rsid w:val="00B311F6"/>
    <w:rsid w:val="00B32BEE"/>
    <w:rsid w:val="00B32F34"/>
    <w:rsid w:val="00B379B0"/>
    <w:rsid w:val="00B40674"/>
    <w:rsid w:val="00B44BC1"/>
    <w:rsid w:val="00B45C38"/>
    <w:rsid w:val="00B46054"/>
    <w:rsid w:val="00B51C71"/>
    <w:rsid w:val="00B5494A"/>
    <w:rsid w:val="00B56E98"/>
    <w:rsid w:val="00B617F1"/>
    <w:rsid w:val="00B62345"/>
    <w:rsid w:val="00B63FE5"/>
    <w:rsid w:val="00B66209"/>
    <w:rsid w:val="00B722D5"/>
    <w:rsid w:val="00B726A8"/>
    <w:rsid w:val="00B762CD"/>
    <w:rsid w:val="00B76C86"/>
    <w:rsid w:val="00B779C8"/>
    <w:rsid w:val="00B806D7"/>
    <w:rsid w:val="00B81074"/>
    <w:rsid w:val="00B821C6"/>
    <w:rsid w:val="00B82BFE"/>
    <w:rsid w:val="00B935F1"/>
    <w:rsid w:val="00B95C8B"/>
    <w:rsid w:val="00BA3A87"/>
    <w:rsid w:val="00BA4672"/>
    <w:rsid w:val="00BA544D"/>
    <w:rsid w:val="00BA763C"/>
    <w:rsid w:val="00BB0BCB"/>
    <w:rsid w:val="00BB0BF5"/>
    <w:rsid w:val="00BC1E3B"/>
    <w:rsid w:val="00BC6590"/>
    <w:rsid w:val="00BC7F03"/>
    <w:rsid w:val="00BD4ECC"/>
    <w:rsid w:val="00BD5BCC"/>
    <w:rsid w:val="00BD64A5"/>
    <w:rsid w:val="00BE2F51"/>
    <w:rsid w:val="00BE3FAA"/>
    <w:rsid w:val="00BE4242"/>
    <w:rsid w:val="00BF3A7A"/>
    <w:rsid w:val="00BF62A9"/>
    <w:rsid w:val="00BF727C"/>
    <w:rsid w:val="00C070C3"/>
    <w:rsid w:val="00C07317"/>
    <w:rsid w:val="00C07540"/>
    <w:rsid w:val="00C07908"/>
    <w:rsid w:val="00C117FB"/>
    <w:rsid w:val="00C130BE"/>
    <w:rsid w:val="00C165F5"/>
    <w:rsid w:val="00C17710"/>
    <w:rsid w:val="00C201AF"/>
    <w:rsid w:val="00C2332C"/>
    <w:rsid w:val="00C256E8"/>
    <w:rsid w:val="00C25EB6"/>
    <w:rsid w:val="00C3131C"/>
    <w:rsid w:val="00C356C1"/>
    <w:rsid w:val="00C440ED"/>
    <w:rsid w:val="00C45AB8"/>
    <w:rsid w:val="00C45AC7"/>
    <w:rsid w:val="00C51BCC"/>
    <w:rsid w:val="00C53C00"/>
    <w:rsid w:val="00C551C9"/>
    <w:rsid w:val="00C57D73"/>
    <w:rsid w:val="00C618AB"/>
    <w:rsid w:val="00C649BB"/>
    <w:rsid w:val="00C64DCA"/>
    <w:rsid w:val="00C65244"/>
    <w:rsid w:val="00C655BD"/>
    <w:rsid w:val="00C65DC2"/>
    <w:rsid w:val="00C660AC"/>
    <w:rsid w:val="00C6632E"/>
    <w:rsid w:val="00C66BB2"/>
    <w:rsid w:val="00C7085A"/>
    <w:rsid w:val="00C73277"/>
    <w:rsid w:val="00C73DF8"/>
    <w:rsid w:val="00C77FD0"/>
    <w:rsid w:val="00C82B37"/>
    <w:rsid w:val="00C846D2"/>
    <w:rsid w:val="00C866DF"/>
    <w:rsid w:val="00C92E6B"/>
    <w:rsid w:val="00C95CE5"/>
    <w:rsid w:val="00C95D8E"/>
    <w:rsid w:val="00CA1D03"/>
    <w:rsid w:val="00CA4646"/>
    <w:rsid w:val="00CB4F31"/>
    <w:rsid w:val="00CB5392"/>
    <w:rsid w:val="00CB5F65"/>
    <w:rsid w:val="00CB7392"/>
    <w:rsid w:val="00CC2E68"/>
    <w:rsid w:val="00CC67B4"/>
    <w:rsid w:val="00CD12EA"/>
    <w:rsid w:val="00CD2519"/>
    <w:rsid w:val="00CD26E0"/>
    <w:rsid w:val="00CD5460"/>
    <w:rsid w:val="00CD7465"/>
    <w:rsid w:val="00CD78C8"/>
    <w:rsid w:val="00CD7E22"/>
    <w:rsid w:val="00CE1460"/>
    <w:rsid w:val="00CE23A9"/>
    <w:rsid w:val="00CE40EB"/>
    <w:rsid w:val="00CE7A30"/>
    <w:rsid w:val="00CF4585"/>
    <w:rsid w:val="00CF4F81"/>
    <w:rsid w:val="00CF56D9"/>
    <w:rsid w:val="00CF56F1"/>
    <w:rsid w:val="00D018B3"/>
    <w:rsid w:val="00D02F8F"/>
    <w:rsid w:val="00D04ACB"/>
    <w:rsid w:val="00D05BEB"/>
    <w:rsid w:val="00D05F05"/>
    <w:rsid w:val="00D06F85"/>
    <w:rsid w:val="00D07D45"/>
    <w:rsid w:val="00D10235"/>
    <w:rsid w:val="00D115E7"/>
    <w:rsid w:val="00D14769"/>
    <w:rsid w:val="00D14C6E"/>
    <w:rsid w:val="00D16701"/>
    <w:rsid w:val="00D17012"/>
    <w:rsid w:val="00D20933"/>
    <w:rsid w:val="00D23144"/>
    <w:rsid w:val="00D2355A"/>
    <w:rsid w:val="00D27468"/>
    <w:rsid w:val="00D27AF8"/>
    <w:rsid w:val="00D30E5E"/>
    <w:rsid w:val="00D343FC"/>
    <w:rsid w:val="00D35C3A"/>
    <w:rsid w:val="00D37145"/>
    <w:rsid w:val="00D42668"/>
    <w:rsid w:val="00D46990"/>
    <w:rsid w:val="00D46C01"/>
    <w:rsid w:val="00D47743"/>
    <w:rsid w:val="00D47BE1"/>
    <w:rsid w:val="00D533DC"/>
    <w:rsid w:val="00D53967"/>
    <w:rsid w:val="00D53A5F"/>
    <w:rsid w:val="00D54A97"/>
    <w:rsid w:val="00D553A7"/>
    <w:rsid w:val="00D55C6F"/>
    <w:rsid w:val="00D56810"/>
    <w:rsid w:val="00D56C88"/>
    <w:rsid w:val="00D5782D"/>
    <w:rsid w:val="00D57BF5"/>
    <w:rsid w:val="00D66E52"/>
    <w:rsid w:val="00D70D8D"/>
    <w:rsid w:val="00D726BF"/>
    <w:rsid w:val="00D7422C"/>
    <w:rsid w:val="00D745ED"/>
    <w:rsid w:val="00D7565F"/>
    <w:rsid w:val="00D76ACF"/>
    <w:rsid w:val="00D77A55"/>
    <w:rsid w:val="00D84185"/>
    <w:rsid w:val="00D86A25"/>
    <w:rsid w:val="00D86ED1"/>
    <w:rsid w:val="00D9180D"/>
    <w:rsid w:val="00D94F5B"/>
    <w:rsid w:val="00D95B15"/>
    <w:rsid w:val="00DA51CA"/>
    <w:rsid w:val="00DA741F"/>
    <w:rsid w:val="00DB00E5"/>
    <w:rsid w:val="00DB188A"/>
    <w:rsid w:val="00DB47DF"/>
    <w:rsid w:val="00DB51EB"/>
    <w:rsid w:val="00DB544D"/>
    <w:rsid w:val="00DB6E84"/>
    <w:rsid w:val="00DB7409"/>
    <w:rsid w:val="00DB7DFC"/>
    <w:rsid w:val="00DC0185"/>
    <w:rsid w:val="00DC1192"/>
    <w:rsid w:val="00DC2075"/>
    <w:rsid w:val="00DC362C"/>
    <w:rsid w:val="00DC3D47"/>
    <w:rsid w:val="00DC43BD"/>
    <w:rsid w:val="00DC69D8"/>
    <w:rsid w:val="00DC783F"/>
    <w:rsid w:val="00DC7F5F"/>
    <w:rsid w:val="00DD1998"/>
    <w:rsid w:val="00DD1E44"/>
    <w:rsid w:val="00DD52DA"/>
    <w:rsid w:val="00DE0DF6"/>
    <w:rsid w:val="00DE1040"/>
    <w:rsid w:val="00DE3118"/>
    <w:rsid w:val="00DE5837"/>
    <w:rsid w:val="00DE6AE5"/>
    <w:rsid w:val="00DE70C1"/>
    <w:rsid w:val="00DF0FA8"/>
    <w:rsid w:val="00DF21E5"/>
    <w:rsid w:val="00DF236E"/>
    <w:rsid w:val="00DF3284"/>
    <w:rsid w:val="00DF4AAC"/>
    <w:rsid w:val="00DF61DF"/>
    <w:rsid w:val="00DF75A4"/>
    <w:rsid w:val="00E05209"/>
    <w:rsid w:val="00E05B60"/>
    <w:rsid w:val="00E0746C"/>
    <w:rsid w:val="00E14EB9"/>
    <w:rsid w:val="00E21ED9"/>
    <w:rsid w:val="00E225E4"/>
    <w:rsid w:val="00E22E1B"/>
    <w:rsid w:val="00E238E5"/>
    <w:rsid w:val="00E24DCA"/>
    <w:rsid w:val="00E257DA"/>
    <w:rsid w:val="00E2637C"/>
    <w:rsid w:val="00E27AF9"/>
    <w:rsid w:val="00E31838"/>
    <w:rsid w:val="00E33350"/>
    <w:rsid w:val="00E3410A"/>
    <w:rsid w:val="00E346DF"/>
    <w:rsid w:val="00E35AE9"/>
    <w:rsid w:val="00E36A58"/>
    <w:rsid w:val="00E43804"/>
    <w:rsid w:val="00E43F24"/>
    <w:rsid w:val="00E50005"/>
    <w:rsid w:val="00E54651"/>
    <w:rsid w:val="00E54E0B"/>
    <w:rsid w:val="00E54E70"/>
    <w:rsid w:val="00E62513"/>
    <w:rsid w:val="00E65D05"/>
    <w:rsid w:val="00E72256"/>
    <w:rsid w:val="00E75E23"/>
    <w:rsid w:val="00E76596"/>
    <w:rsid w:val="00E76954"/>
    <w:rsid w:val="00E77121"/>
    <w:rsid w:val="00E83221"/>
    <w:rsid w:val="00E8539A"/>
    <w:rsid w:val="00E86E2C"/>
    <w:rsid w:val="00EA0601"/>
    <w:rsid w:val="00EA5B7B"/>
    <w:rsid w:val="00EB31FE"/>
    <w:rsid w:val="00EB32CF"/>
    <w:rsid w:val="00EB3A3A"/>
    <w:rsid w:val="00EC0073"/>
    <w:rsid w:val="00EC137F"/>
    <w:rsid w:val="00ED1C7B"/>
    <w:rsid w:val="00ED78D5"/>
    <w:rsid w:val="00EE2E71"/>
    <w:rsid w:val="00EE306E"/>
    <w:rsid w:val="00EE36AD"/>
    <w:rsid w:val="00EE36C2"/>
    <w:rsid w:val="00EE3941"/>
    <w:rsid w:val="00EE3F62"/>
    <w:rsid w:val="00EE5B52"/>
    <w:rsid w:val="00EE65F8"/>
    <w:rsid w:val="00EF0872"/>
    <w:rsid w:val="00EF21E2"/>
    <w:rsid w:val="00F01FD3"/>
    <w:rsid w:val="00F0209D"/>
    <w:rsid w:val="00F058EC"/>
    <w:rsid w:val="00F05DA2"/>
    <w:rsid w:val="00F06F98"/>
    <w:rsid w:val="00F126E8"/>
    <w:rsid w:val="00F13DEA"/>
    <w:rsid w:val="00F14D52"/>
    <w:rsid w:val="00F17EAC"/>
    <w:rsid w:val="00F24E73"/>
    <w:rsid w:val="00F25229"/>
    <w:rsid w:val="00F2540F"/>
    <w:rsid w:val="00F26F03"/>
    <w:rsid w:val="00F354F2"/>
    <w:rsid w:val="00F35B81"/>
    <w:rsid w:val="00F436F1"/>
    <w:rsid w:val="00F45929"/>
    <w:rsid w:val="00F479A5"/>
    <w:rsid w:val="00F47B2B"/>
    <w:rsid w:val="00F5375E"/>
    <w:rsid w:val="00F62558"/>
    <w:rsid w:val="00F630C1"/>
    <w:rsid w:val="00F6380D"/>
    <w:rsid w:val="00F71F87"/>
    <w:rsid w:val="00F72546"/>
    <w:rsid w:val="00F75564"/>
    <w:rsid w:val="00F77EE9"/>
    <w:rsid w:val="00F93B0B"/>
    <w:rsid w:val="00F96FBF"/>
    <w:rsid w:val="00F970EE"/>
    <w:rsid w:val="00FA09D7"/>
    <w:rsid w:val="00FA0A28"/>
    <w:rsid w:val="00FA1369"/>
    <w:rsid w:val="00FA273A"/>
    <w:rsid w:val="00FA5C76"/>
    <w:rsid w:val="00FB5BBD"/>
    <w:rsid w:val="00FB766B"/>
    <w:rsid w:val="00FB797D"/>
    <w:rsid w:val="00FC09CF"/>
    <w:rsid w:val="00FC4CB4"/>
    <w:rsid w:val="00FC5F17"/>
    <w:rsid w:val="00FC62E6"/>
    <w:rsid w:val="00FC63FD"/>
    <w:rsid w:val="00FC73FC"/>
    <w:rsid w:val="00FD06F5"/>
    <w:rsid w:val="00FD0AD2"/>
    <w:rsid w:val="00FD207F"/>
    <w:rsid w:val="00FE5D9B"/>
    <w:rsid w:val="00FF307F"/>
    <w:rsid w:val="00FF31CB"/>
    <w:rsid w:val="00FF72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D74A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51BCC"/>
    <w:pPr>
      <w:spacing w:line="288" w:lineRule="auto"/>
    </w:pPr>
    <w:rPr>
      <w:sz w:val="24"/>
    </w:rPr>
  </w:style>
  <w:style w:type="paragraph" w:styleId="Heading1">
    <w:name w:val="heading 1"/>
    <w:basedOn w:val="Normal"/>
    <w:next w:val="Normal"/>
    <w:link w:val="Heading1Char"/>
    <w:uiPriority w:val="9"/>
    <w:qFormat/>
    <w:rsid w:val="00361D62"/>
    <w:pPr>
      <w:keepNext/>
      <w:keepLines/>
      <w:numPr>
        <w:numId w:val="29"/>
      </w:numPr>
      <w:spacing w:before="280" w:after="0" w:line="480" w:lineRule="auto"/>
      <w:outlineLvl w:val="0"/>
    </w:pPr>
    <w:rPr>
      <w:rFonts w:asciiTheme="majorHAnsi" w:eastAsiaTheme="majorEastAsia" w:hAnsiTheme="majorHAnsi" w:cstheme="majorBidi"/>
      <w:color w:val="B22600" w:themeColor="accent6"/>
      <w:sz w:val="36"/>
      <w:szCs w:val="36"/>
    </w:rPr>
  </w:style>
  <w:style w:type="paragraph" w:styleId="Heading2">
    <w:name w:val="heading 2"/>
    <w:basedOn w:val="Normal"/>
    <w:next w:val="Normal"/>
    <w:link w:val="Heading2Char"/>
    <w:uiPriority w:val="9"/>
    <w:unhideWhenUsed/>
    <w:qFormat/>
    <w:rsid w:val="00A776A2"/>
    <w:pPr>
      <w:keepNext/>
      <w:keepLines/>
      <w:numPr>
        <w:ilvl w:val="1"/>
        <w:numId w:val="29"/>
      </w:numPr>
      <w:spacing w:before="360" w:after="120"/>
      <w:outlineLvl w:val="1"/>
    </w:pPr>
    <w:rPr>
      <w:rFonts w:asciiTheme="majorHAnsi" w:eastAsiaTheme="majorEastAsia" w:hAnsiTheme="majorHAnsi" w:cstheme="majorBidi"/>
      <w:color w:val="B64926" w:themeColor="accent3"/>
      <w:sz w:val="32"/>
      <w:szCs w:val="28"/>
    </w:rPr>
  </w:style>
  <w:style w:type="paragraph" w:styleId="Heading3">
    <w:name w:val="heading 3"/>
    <w:basedOn w:val="Normal"/>
    <w:next w:val="Normal"/>
    <w:link w:val="Heading3Char"/>
    <w:uiPriority w:val="9"/>
    <w:unhideWhenUsed/>
    <w:qFormat/>
    <w:rsid w:val="00D04ACB"/>
    <w:pPr>
      <w:keepNext/>
      <w:keepLines/>
      <w:numPr>
        <w:ilvl w:val="2"/>
        <w:numId w:val="29"/>
      </w:numPr>
      <w:spacing w:before="240" w:after="120"/>
      <w:outlineLvl w:val="2"/>
    </w:pPr>
    <w:rPr>
      <w:rFonts w:asciiTheme="majorHAnsi" w:eastAsiaTheme="majorEastAsia" w:hAnsiTheme="majorHAnsi" w:cstheme="majorBidi"/>
      <w:sz w:val="28"/>
      <w:szCs w:val="28"/>
    </w:rPr>
  </w:style>
  <w:style w:type="paragraph" w:styleId="Heading4">
    <w:name w:val="heading 4"/>
    <w:basedOn w:val="Normal"/>
    <w:next w:val="Normal"/>
    <w:link w:val="Heading4Char"/>
    <w:uiPriority w:val="9"/>
    <w:unhideWhenUsed/>
    <w:qFormat/>
    <w:rsid w:val="004146E7"/>
    <w:pPr>
      <w:keepNext/>
      <w:keepLines/>
      <w:spacing w:before="120" w:after="120"/>
      <w:outlineLvl w:val="3"/>
    </w:pPr>
    <w:rPr>
      <w:rFonts w:asciiTheme="majorHAnsi" w:eastAsiaTheme="majorEastAsia" w:hAnsiTheme="majorHAnsi" w:cstheme="majorBidi"/>
      <w:b/>
    </w:rPr>
  </w:style>
  <w:style w:type="paragraph" w:styleId="Heading5">
    <w:name w:val="heading 5"/>
    <w:basedOn w:val="Normal"/>
    <w:next w:val="Normal"/>
    <w:link w:val="Heading5Char"/>
    <w:uiPriority w:val="9"/>
    <w:unhideWhenUsed/>
    <w:rsid w:val="004B4B66"/>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unhideWhenUsed/>
    <w:rsid w:val="004B4B66"/>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rsid w:val="004B4B66"/>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4B4B66"/>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4B4B66"/>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
    <w:next w:val="Normal"/>
    <w:link w:val="TitleChar"/>
    <w:uiPriority w:val="10"/>
    <w:qFormat/>
    <w:rsid w:val="003B7A36"/>
    <w:pPr>
      <w:spacing w:after="0" w:line="240" w:lineRule="auto"/>
      <w:contextualSpacing/>
    </w:pPr>
    <w:rPr>
      <w:rFonts w:asciiTheme="majorHAnsi" w:eastAsiaTheme="majorEastAsia" w:hAnsiTheme="majorHAnsi" w:cstheme="majorBidi"/>
      <w:color w:val="B22600" w:themeColor="accent6"/>
      <w:spacing w:val="-10"/>
      <w:sz w:val="48"/>
      <w:szCs w:val="72"/>
    </w:rPr>
  </w:style>
  <w:style w:type="paragraph" w:styleId="Subtitle">
    <w:name w:val="Subtitle"/>
    <w:basedOn w:val="Normal"/>
    <w:next w:val="Normal"/>
    <w:link w:val="SubtitleChar"/>
    <w:uiPriority w:val="11"/>
    <w:qFormat/>
    <w:rsid w:val="00557470"/>
    <w:pPr>
      <w:numPr>
        <w:ilvl w:val="1"/>
      </w:numPr>
    </w:pPr>
    <w:rPr>
      <w:rFonts w:asciiTheme="majorHAnsi" w:eastAsiaTheme="majorEastAsia" w:hAnsiTheme="majorHAnsi" w:cstheme="majorBidi"/>
      <w:i/>
      <w:color w:val="595959" w:themeColor="text1" w:themeTint="A6"/>
      <w:szCs w:val="24"/>
    </w:rPr>
  </w:style>
  <w:style w:type="paragraph" w:styleId="Header">
    <w:name w:val="header"/>
    <w:basedOn w:val="Normal"/>
    <w:link w:val="HeaderChar"/>
    <w:uiPriority w:val="99"/>
    <w:unhideWhenUsed/>
    <w:rsid w:val="007B6ECE"/>
    <w:pPr>
      <w:tabs>
        <w:tab w:val="center" w:pos="4320"/>
        <w:tab w:val="right" w:pos="8640"/>
      </w:tabs>
      <w:spacing w:line="240" w:lineRule="auto"/>
    </w:pPr>
  </w:style>
  <w:style w:type="character" w:customStyle="1" w:styleId="HeaderChar">
    <w:name w:val="Header Char"/>
    <w:basedOn w:val="DefaultParagraphFont"/>
    <w:link w:val="Header"/>
    <w:uiPriority w:val="99"/>
    <w:rsid w:val="007B6ECE"/>
  </w:style>
  <w:style w:type="paragraph" w:styleId="Footer">
    <w:name w:val="footer"/>
    <w:basedOn w:val="Normal"/>
    <w:link w:val="FooterChar"/>
    <w:uiPriority w:val="99"/>
    <w:unhideWhenUsed/>
    <w:rsid w:val="007B6ECE"/>
    <w:pPr>
      <w:tabs>
        <w:tab w:val="center" w:pos="4320"/>
        <w:tab w:val="right" w:pos="8640"/>
      </w:tabs>
      <w:spacing w:line="240" w:lineRule="auto"/>
    </w:pPr>
  </w:style>
  <w:style w:type="character" w:customStyle="1" w:styleId="FooterChar">
    <w:name w:val="Footer Char"/>
    <w:basedOn w:val="DefaultParagraphFont"/>
    <w:link w:val="Footer"/>
    <w:uiPriority w:val="99"/>
    <w:rsid w:val="007B6ECE"/>
  </w:style>
  <w:style w:type="character" w:styleId="PageNumber">
    <w:name w:val="page number"/>
    <w:basedOn w:val="DefaultParagraphFont"/>
    <w:uiPriority w:val="99"/>
    <w:semiHidden/>
    <w:unhideWhenUsed/>
    <w:rsid w:val="007B6ECE"/>
  </w:style>
  <w:style w:type="character" w:styleId="Hyperlink">
    <w:name w:val="Hyperlink"/>
    <w:basedOn w:val="DefaultParagraphFont"/>
    <w:uiPriority w:val="99"/>
    <w:unhideWhenUsed/>
    <w:rsid w:val="003E1EFA"/>
    <w:rPr>
      <w:color w:val="CC9900" w:themeColor="hyperlink"/>
      <w:u w:val="single"/>
    </w:rPr>
  </w:style>
  <w:style w:type="paragraph" w:styleId="ListParagraph">
    <w:name w:val="List Paragraph"/>
    <w:basedOn w:val="Normal"/>
    <w:uiPriority w:val="34"/>
    <w:qFormat/>
    <w:rsid w:val="00E43F24"/>
    <w:pPr>
      <w:ind w:left="720"/>
      <w:contextualSpacing/>
    </w:pPr>
  </w:style>
  <w:style w:type="character" w:styleId="CommentReference">
    <w:name w:val="annotation reference"/>
    <w:basedOn w:val="DefaultParagraphFont"/>
    <w:uiPriority w:val="99"/>
    <w:semiHidden/>
    <w:unhideWhenUsed/>
    <w:rsid w:val="008B4BAA"/>
    <w:rPr>
      <w:sz w:val="16"/>
      <w:szCs w:val="16"/>
    </w:rPr>
  </w:style>
  <w:style w:type="paragraph" w:styleId="CommentText">
    <w:name w:val="annotation text"/>
    <w:basedOn w:val="Normal"/>
    <w:link w:val="CommentTextChar"/>
    <w:uiPriority w:val="99"/>
    <w:semiHidden/>
    <w:unhideWhenUsed/>
    <w:rsid w:val="008B4BAA"/>
    <w:pPr>
      <w:spacing w:line="240" w:lineRule="auto"/>
    </w:pPr>
    <w:rPr>
      <w:sz w:val="20"/>
    </w:rPr>
  </w:style>
  <w:style w:type="character" w:customStyle="1" w:styleId="CommentTextChar">
    <w:name w:val="Comment Text Char"/>
    <w:basedOn w:val="DefaultParagraphFont"/>
    <w:link w:val="CommentText"/>
    <w:uiPriority w:val="99"/>
    <w:semiHidden/>
    <w:rsid w:val="008B4BAA"/>
    <w:rPr>
      <w:sz w:val="20"/>
    </w:rPr>
  </w:style>
  <w:style w:type="paragraph" w:styleId="CommentSubject">
    <w:name w:val="annotation subject"/>
    <w:basedOn w:val="CommentText"/>
    <w:next w:val="CommentText"/>
    <w:link w:val="CommentSubjectChar"/>
    <w:uiPriority w:val="99"/>
    <w:semiHidden/>
    <w:unhideWhenUsed/>
    <w:rsid w:val="008B4BAA"/>
    <w:rPr>
      <w:b/>
      <w:bCs/>
    </w:rPr>
  </w:style>
  <w:style w:type="character" w:customStyle="1" w:styleId="CommentSubjectChar">
    <w:name w:val="Comment Subject Char"/>
    <w:basedOn w:val="CommentTextChar"/>
    <w:link w:val="CommentSubject"/>
    <w:uiPriority w:val="99"/>
    <w:semiHidden/>
    <w:rsid w:val="008B4BAA"/>
    <w:rPr>
      <w:b/>
      <w:bCs/>
      <w:sz w:val="20"/>
    </w:rPr>
  </w:style>
  <w:style w:type="paragraph" w:styleId="BalloonText">
    <w:name w:val="Balloon Text"/>
    <w:basedOn w:val="Normal"/>
    <w:link w:val="BalloonTextChar"/>
    <w:uiPriority w:val="99"/>
    <w:semiHidden/>
    <w:unhideWhenUsed/>
    <w:rsid w:val="008B4BA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4BAA"/>
    <w:rPr>
      <w:rFonts w:ascii="Tahoma" w:hAnsi="Tahoma" w:cs="Tahoma"/>
      <w:sz w:val="16"/>
      <w:szCs w:val="16"/>
    </w:rPr>
  </w:style>
  <w:style w:type="paragraph" w:styleId="FootnoteText">
    <w:name w:val="footnote text"/>
    <w:basedOn w:val="Normal"/>
    <w:link w:val="FootnoteTextChar"/>
    <w:uiPriority w:val="99"/>
    <w:unhideWhenUsed/>
    <w:rsid w:val="00530F5A"/>
    <w:pPr>
      <w:spacing w:line="240" w:lineRule="auto"/>
    </w:pPr>
    <w:rPr>
      <w:rFonts w:asciiTheme="majorHAnsi" w:hAnsiTheme="majorHAnsi"/>
      <w:sz w:val="18"/>
      <w:lang w:eastAsia="ja-JP"/>
    </w:rPr>
  </w:style>
  <w:style w:type="character" w:customStyle="1" w:styleId="FootnoteTextChar">
    <w:name w:val="Footnote Text Char"/>
    <w:basedOn w:val="DefaultParagraphFont"/>
    <w:link w:val="FootnoteText"/>
    <w:uiPriority w:val="99"/>
    <w:rsid w:val="00530F5A"/>
    <w:rPr>
      <w:rFonts w:asciiTheme="majorHAnsi" w:eastAsiaTheme="minorEastAsia" w:hAnsiTheme="majorHAnsi" w:cstheme="minorBidi"/>
      <w:sz w:val="18"/>
      <w:lang w:eastAsia="ja-JP"/>
    </w:rPr>
  </w:style>
  <w:style w:type="character" w:styleId="FootnoteReference">
    <w:name w:val="footnote reference"/>
    <w:basedOn w:val="DefaultParagraphFont"/>
    <w:uiPriority w:val="99"/>
    <w:semiHidden/>
    <w:unhideWhenUsed/>
    <w:rsid w:val="00530F5A"/>
    <w:rPr>
      <w:vertAlign w:val="superscript"/>
    </w:rPr>
  </w:style>
  <w:style w:type="character" w:customStyle="1" w:styleId="Heading1Char">
    <w:name w:val="Heading 1 Char"/>
    <w:basedOn w:val="DefaultParagraphFont"/>
    <w:link w:val="Heading1"/>
    <w:uiPriority w:val="9"/>
    <w:rsid w:val="00361D62"/>
    <w:rPr>
      <w:rFonts w:asciiTheme="majorHAnsi" w:eastAsiaTheme="majorEastAsia" w:hAnsiTheme="majorHAnsi" w:cstheme="majorBidi"/>
      <w:color w:val="B22600" w:themeColor="accent6"/>
      <w:sz w:val="36"/>
      <w:szCs w:val="36"/>
    </w:rPr>
  </w:style>
  <w:style w:type="table" w:styleId="TableGrid">
    <w:name w:val="Table Grid"/>
    <w:basedOn w:val="TableNormal"/>
    <w:uiPriority w:val="59"/>
    <w:rsid w:val="008075ED"/>
    <w:pPr>
      <w:spacing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EE5B52"/>
    <w:pPr>
      <w:spacing w:line="240" w:lineRule="auto"/>
    </w:pPr>
  </w:style>
  <w:style w:type="character" w:customStyle="1" w:styleId="Heading2Char">
    <w:name w:val="Heading 2 Char"/>
    <w:basedOn w:val="DefaultParagraphFont"/>
    <w:link w:val="Heading2"/>
    <w:uiPriority w:val="9"/>
    <w:rsid w:val="00A776A2"/>
    <w:rPr>
      <w:rFonts w:asciiTheme="majorHAnsi" w:eastAsiaTheme="majorEastAsia" w:hAnsiTheme="majorHAnsi" w:cstheme="majorBidi"/>
      <w:color w:val="B64926" w:themeColor="accent3"/>
      <w:sz w:val="32"/>
      <w:szCs w:val="28"/>
    </w:rPr>
  </w:style>
  <w:style w:type="character" w:customStyle="1" w:styleId="Heading3Char">
    <w:name w:val="Heading 3 Char"/>
    <w:basedOn w:val="DefaultParagraphFont"/>
    <w:link w:val="Heading3"/>
    <w:uiPriority w:val="9"/>
    <w:rsid w:val="00D04ACB"/>
    <w:rPr>
      <w:rFonts w:asciiTheme="majorHAnsi" w:eastAsiaTheme="majorEastAsia" w:hAnsiTheme="majorHAnsi" w:cstheme="majorBidi"/>
      <w:sz w:val="28"/>
      <w:szCs w:val="28"/>
    </w:rPr>
  </w:style>
  <w:style w:type="character" w:customStyle="1" w:styleId="Heading4Char">
    <w:name w:val="Heading 4 Char"/>
    <w:basedOn w:val="DefaultParagraphFont"/>
    <w:link w:val="Heading4"/>
    <w:uiPriority w:val="9"/>
    <w:rsid w:val="004146E7"/>
    <w:rPr>
      <w:rFonts w:asciiTheme="majorHAnsi" w:eastAsiaTheme="majorEastAsia" w:hAnsiTheme="majorHAnsi" w:cstheme="majorBidi"/>
      <w:b/>
      <w:sz w:val="24"/>
    </w:rPr>
  </w:style>
  <w:style w:type="character" w:customStyle="1" w:styleId="Heading5Char">
    <w:name w:val="Heading 5 Char"/>
    <w:basedOn w:val="DefaultParagraphFont"/>
    <w:link w:val="Heading5"/>
    <w:uiPriority w:val="9"/>
    <w:rsid w:val="004B4B66"/>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rsid w:val="004B4B66"/>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4B4B66"/>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4B4B66"/>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4B4B66"/>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unhideWhenUsed/>
    <w:qFormat/>
    <w:rsid w:val="009E1416"/>
    <w:pPr>
      <w:spacing w:after="360" w:line="240" w:lineRule="auto"/>
      <w:ind w:left="432" w:right="432"/>
      <w:jc w:val="both"/>
    </w:pPr>
    <w:rPr>
      <w:bCs/>
      <w:color w:val="595959" w:themeColor="text1" w:themeTint="A6"/>
      <w:sz w:val="21"/>
    </w:rPr>
  </w:style>
  <w:style w:type="character" w:customStyle="1" w:styleId="TitleChar">
    <w:name w:val="Title Char"/>
    <w:basedOn w:val="DefaultParagraphFont"/>
    <w:link w:val="Title"/>
    <w:uiPriority w:val="10"/>
    <w:rsid w:val="003B7A36"/>
    <w:rPr>
      <w:rFonts w:asciiTheme="majorHAnsi" w:eastAsiaTheme="majorEastAsia" w:hAnsiTheme="majorHAnsi" w:cstheme="majorBidi"/>
      <w:color w:val="B22600" w:themeColor="accent6"/>
      <w:spacing w:val="-10"/>
      <w:sz w:val="48"/>
      <w:szCs w:val="72"/>
    </w:rPr>
  </w:style>
  <w:style w:type="character" w:customStyle="1" w:styleId="SubtitleChar">
    <w:name w:val="Subtitle Char"/>
    <w:basedOn w:val="DefaultParagraphFont"/>
    <w:link w:val="Subtitle"/>
    <w:uiPriority w:val="11"/>
    <w:rsid w:val="00557470"/>
    <w:rPr>
      <w:rFonts w:asciiTheme="majorHAnsi" w:eastAsiaTheme="majorEastAsia" w:hAnsiTheme="majorHAnsi" w:cstheme="majorBidi"/>
      <w:i/>
      <w:color w:val="595959" w:themeColor="text1" w:themeTint="A6"/>
      <w:sz w:val="24"/>
      <w:szCs w:val="24"/>
    </w:rPr>
  </w:style>
  <w:style w:type="character" w:styleId="Strong">
    <w:name w:val="Strong"/>
    <w:basedOn w:val="DefaultParagraphFont"/>
    <w:uiPriority w:val="22"/>
    <w:rsid w:val="004B4B66"/>
    <w:rPr>
      <w:b/>
      <w:bCs/>
    </w:rPr>
  </w:style>
  <w:style w:type="character" w:styleId="Emphasis">
    <w:name w:val="Emphasis"/>
    <w:basedOn w:val="DefaultParagraphFont"/>
    <w:uiPriority w:val="20"/>
    <w:qFormat/>
    <w:rsid w:val="004B4B66"/>
    <w:rPr>
      <w:i/>
      <w:iCs/>
    </w:rPr>
  </w:style>
  <w:style w:type="paragraph" w:styleId="NoSpacing">
    <w:name w:val="No Spacing"/>
    <w:link w:val="NoSpacingChar"/>
    <w:uiPriority w:val="1"/>
    <w:qFormat/>
    <w:rsid w:val="004B4B66"/>
    <w:pPr>
      <w:spacing w:after="0" w:line="240" w:lineRule="auto"/>
    </w:pPr>
  </w:style>
  <w:style w:type="paragraph" w:styleId="Quote">
    <w:name w:val="Quote"/>
    <w:basedOn w:val="Normal"/>
    <w:next w:val="Normal"/>
    <w:link w:val="QuoteChar"/>
    <w:uiPriority w:val="29"/>
    <w:rsid w:val="004B4B66"/>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4B4B66"/>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rsid w:val="004B4B66"/>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4B4B66"/>
    <w:rPr>
      <w:color w:val="404040" w:themeColor="text1" w:themeTint="BF"/>
      <w:sz w:val="32"/>
      <w:szCs w:val="32"/>
    </w:rPr>
  </w:style>
  <w:style w:type="character" w:styleId="SubtleEmphasis">
    <w:name w:val="Subtle Emphasis"/>
    <w:basedOn w:val="DefaultParagraphFont"/>
    <w:uiPriority w:val="19"/>
    <w:qFormat/>
    <w:rsid w:val="004B4B66"/>
    <w:rPr>
      <w:i/>
      <w:iCs/>
      <w:color w:val="595959" w:themeColor="text1" w:themeTint="A6"/>
    </w:rPr>
  </w:style>
  <w:style w:type="character" w:styleId="IntenseEmphasis">
    <w:name w:val="Intense Emphasis"/>
    <w:basedOn w:val="DefaultParagraphFont"/>
    <w:uiPriority w:val="21"/>
    <w:rsid w:val="004B4B66"/>
    <w:rPr>
      <w:b/>
      <w:bCs/>
      <w:i/>
      <w:iCs/>
    </w:rPr>
  </w:style>
  <w:style w:type="character" w:styleId="SubtleReference">
    <w:name w:val="Subtle Reference"/>
    <w:basedOn w:val="DefaultParagraphFont"/>
    <w:uiPriority w:val="31"/>
    <w:rsid w:val="004B4B66"/>
    <w:rPr>
      <w:smallCaps/>
      <w:color w:val="404040" w:themeColor="text1" w:themeTint="BF"/>
      <w:u w:val="single" w:color="7F7F7F" w:themeColor="text1" w:themeTint="80"/>
    </w:rPr>
  </w:style>
  <w:style w:type="character" w:styleId="IntenseReference">
    <w:name w:val="Intense Reference"/>
    <w:basedOn w:val="DefaultParagraphFont"/>
    <w:uiPriority w:val="32"/>
    <w:rsid w:val="004B4B66"/>
    <w:rPr>
      <w:b/>
      <w:bCs/>
      <w:caps w:val="0"/>
      <w:smallCaps/>
      <w:color w:val="auto"/>
      <w:spacing w:val="3"/>
      <w:u w:val="single"/>
    </w:rPr>
  </w:style>
  <w:style w:type="character" w:styleId="BookTitle">
    <w:name w:val="Book Title"/>
    <w:basedOn w:val="DefaultParagraphFont"/>
    <w:uiPriority w:val="33"/>
    <w:rsid w:val="004B4B66"/>
    <w:rPr>
      <w:b/>
      <w:bCs/>
      <w:smallCaps/>
      <w:spacing w:val="7"/>
    </w:rPr>
  </w:style>
  <w:style w:type="paragraph" w:styleId="TOCHeading">
    <w:name w:val="TOC Heading"/>
    <w:basedOn w:val="Heading1"/>
    <w:next w:val="Normal"/>
    <w:uiPriority w:val="39"/>
    <w:semiHidden/>
    <w:unhideWhenUsed/>
    <w:qFormat/>
    <w:rsid w:val="004B4B66"/>
    <w:pPr>
      <w:outlineLvl w:val="9"/>
    </w:pPr>
  </w:style>
  <w:style w:type="paragraph" w:customStyle="1" w:styleId="Heading0">
    <w:name w:val="Heading 0"/>
    <w:basedOn w:val="Heading1"/>
    <w:link w:val="Heading0Char"/>
    <w:qFormat/>
    <w:rsid w:val="00A21BB3"/>
    <w:pPr>
      <w:numPr>
        <w:numId w:val="0"/>
      </w:numPr>
    </w:pPr>
  </w:style>
  <w:style w:type="paragraph" w:styleId="TOC2">
    <w:name w:val="toc 2"/>
    <w:basedOn w:val="Normal"/>
    <w:next w:val="Normal"/>
    <w:autoRedefine/>
    <w:uiPriority w:val="39"/>
    <w:unhideWhenUsed/>
    <w:rsid w:val="00DC43BD"/>
    <w:pPr>
      <w:spacing w:after="100"/>
      <w:ind w:left="220"/>
    </w:pPr>
  </w:style>
  <w:style w:type="character" w:customStyle="1" w:styleId="Heading0Char">
    <w:name w:val="Heading 0 Char"/>
    <w:basedOn w:val="Heading1Char"/>
    <w:link w:val="Heading0"/>
    <w:rsid w:val="00A21BB3"/>
    <w:rPr>
      <w:rFonts w:asciiTheme="majorHAnsi" w:eastAsiaTheme="majorEastAsia" w:hAnsiTheme="majorHAnsi" w:cstheme="majorBidi"/>
      <w:caps w:val="0"/>
      <w:color w:val="B22600" w:themeColor="accent6"/>
      <w:sz w:val="36"/>
      <w:szCs w:val="36"/>
    </w:rPr>
  </w:style>
  <w:style w:type="paragraph" w:styleId="TOC1">
    <w:name w:val="toc 1"/>
    <w:basedOn w:val="Normal"/>
    <w:next w:val="Normal"/>
    <w:autoRedefine/>
    <w:uiPriority w:val="39"/>
    <w:unhideWhenUsed/>
    <w:rsid w:val="00DC43BD"/>
    <w:pPr>
      <w:spacing w:after="100"/>
    </w:pPr>
  </w:style>
  <w:style w:type="paragraph" w:styleId="TOC3">
    <w:name w:val="toc 3"/>
    <w:basedOn w:val="Normal"/>
    <w:next w:val="Normal"/>
    <w:autoRedefine/>
    <w:uiPriority w:val="39"/>
    <w:unhideWhenUsed/>
    <w:rsid w:val="00DC43BD"/>
    <w:pPr>
      <w:spacing w:after="100"/>
      <w:ind w:left="440"/>
    </w:pPr>
  </w:style>
  <w:style w:type="character" w:customStyle="1" w:styleId="NoSpacingChar">
    <w:name w:val="No Spacing Char"/>
    <w:basedOn w:val="DefaultParagraphFont"/>
    <w:link w:val="NoSpacing"/>
    <w:uiPriority w:val="1"/>
    <w:rsid w:val="002832B1"/>
  </w:style>
  <w:style w:type="numbering" w:customStyle="1" w:styleId="Headings">
    <w:name w:val="Headings"/>
    <w:uiPriority w:val="99"/>
    <w:rsid w:val="000F348A"/>
    <w:pPr>
      <w:numPr>
        <w:numId w:val="39"/>
      </w:numPr>
    </w:pPr>
  </w:style>
  <w:style w:type="paragraph" w:styleId="EndnoteText">
    <w:name w:val="endnote text"/>
    <w:basedOn w:val="Normal"/>
    <w:link w:val="EndnoteTextChar"/>
    <w:autoRedefine/>
    <w:uiPriority w:val="99"/>
    <w:unhideWhenUsed/>
    <w:qFormat/>
    <w:rsid w:val="00AA6B2A"/>
    <w:pPr>
      <w:spacing w:before="240" w:after="240" w:line="240" w:lineRule="auto"/>
    </w:pPr>
    <w:rPr>
      <w:rFonts w:ascii="Gill Sans MT" w:hAnsi="Gill Sans MT" w:cs="Times New Roman"/>
      <w:sz w:val="22"/>
      <w:szCs w:val="24"/>
    </w:rPr>
  </w:style>
  <w:style w:type="character" w:customStyle="1" w:styleId="EndnoteTextChar">
    <w:name w:val="Endnote Text Char"/>
    <w:basedOn w:val="DefaultParagraphFont"/>
    <w:link w:val="EndnoteText"/>
    <w:uiPriority w:val="99"/>
    <w:rsid w:val="00AA6B2A"/>
    <w:rPr>
      <w:rFonts w:ascii="Gill Sans MT" w:hAnsi="Gill Sans MT" w:cs="Times New Roman"/>
      <w:szCs w:val="24"/>
    </w:rPr>
  </w:style>
  <w:style w:type="character" w:styleId="EndnoteReference">
    <w:name w:val="endnote reference"/>
    <w:basedOn w:val="DefaultParagraphFont"/>
    <w:uiPriority w:val="99"/>
    <w:semiHidden/>
    <w:unhideWhenUsed/>
    <w:rsid w:val="0017765B"/>
    <w:rPr>
      <w:vertAlign w:val="superscript"/>
    </w:rPr>
  </w:style>
  <w:style w:type="paragraph" w:styleId="Bibliography">
    <w:name w:val="Bibliography"/>
    <w:basedOn w:val="Normal"/>
    <w:next w:val="Normal"/>
    <w:uiPriority w:val="37"/>
    <w:unhideWhenUsed/>
    <w:rsid w:val="000C64A8"/>
    <w:pPr>
      <w:spacing w:after="0" w:line="240" w:lineRule="auto"/>
      <w:ind w:left="720" w:hanging="720"/>
    </w:pPr>
  </w:style>
  <w:style w:type="paragraph" w:styleId="TableofFigures">
    <w:name w:val="table of figures"/>
    <w:basedOn w:val="Normal"/>
    <w:next w:val="Normal"/>
    <w:uiPriority w:val="99"/>
    <w:unhideWhenUsed/>
    <w:rsid w:val="007A07FC"/>
    <w:pPr>
      <w:spacing w:after="0"/>
    </w:pPr>
  </w:style>
  <w:style w:type="paragraph" w:styleId="DocumentMap">
    <w:name w:val="Document Map"/>
    <w:basedOn w:val="Normal"/>
    <w:link w:val="DocumentMapChar"/>
    <w:uiPriority w:val="99"/>
    <w:semiHidden/>
    <w:unhideWhenUsed/>
    <w:rsid w:val="0027242B"/>
    <w:pPr>
      <w:spacing w:after="0" w:line="240" w:lineRule="auto"/>
    </w:pPr>
    <w:rPr>
      <w:rFonts w:ascii="Lucida Grande" w:hAnsi="Lucida Grande"/>
      <w:szCs w:val="24"/>
    </w:rPr>
  </w:style>
  <w:style w:type="character" w:customStyle="1" w:styleId="DocumentMapChar">
    <w:name w:val="Document Map Char"/>
    <w:basedOn w:val="DefaultParagraphFont"/>
    <w:link w:val="DocumentMap"/>
    <w:uiPriority w:val="99"/>
    <w:semiHidden/>
    <w:rsid w:val="0027242B"/>
    <w:rPr>
      <w:rFonts w:ascii="Lucida Grande" w:hAnsi="Lucida Grande"/>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51BCC"/>
    <w:pPr>
      <w:spacing w:line="288" w:lineRule="auto"/>
    </w:pPr>
    <w:rPr>
      <w:sz w:val="24"/>
    </w:rPr>
  </w:style>
  <w:style w:type="paragraph" w:styleId="Heading1">
    <w:name w:val="heading 1"/>
    <w:basedOn w:val="Normal"/>
    <w:next w:val="Normal"/>
    <w:link w:val="Heading1Char"/>
    <w:uiPriority w:val="9"/>
    <w:qFormat/>
    <w:rsid w:val="00361D62"/>
    <w:pPr>
      <w:keepNext/>
      <w:keepLines/>
      <w:numPr>
        <w:numId w:val="29"/>
      </w:numPr>
      <w:spacing w:before="280" w:after="0" w:line="480" w:lineRule="auto"/>
      <w:outlineLvl w:val="0"/>
    </w:pPr>
    <w:rPr>
      <w:rFonts w:asciiTheme="majorHAnsi" w:eastAsiaTheme="majorEastAsia" w:hAnsiTheme="majorHAnsi" w:cstheme="majorBidi"/>
      <w:color w:val="B22600" w:themeColor="accent6"/>
      <w:sz w:val="36"/>
      <w:szCs w:val="36"/>
    </w:rPr>
  </w:style>
  <w:style w:type="paragraph" w:styleId="Heading2">
    <w:name w:val="heading 2"/>
    <w:basedOn w:val="Normal"/>
    <w:next w:val="Normal"/>
    <w:link w:val="Heading2Char"/>
    <w:uiPriority w:val="9"/>
    <w:unhideWhenUsed/>
    <w:qFormat/>
    <w:rsid w:val="00A776A2"/>
    <w:pPr>
      <w:keepNext/>
      <w:keepLines/>
      <w:numPr>
        <w:ilvl w:val="1"/>
        <w:numId w:val="29"/>
      </w:numPr>
      <w:spacing w:before="360" w:after="120"/>
      <w:outlineLvl w:val="1"/>
    </w:pPr>
    <w:rPr>
      <w:rFonts w:asciiTheme="majorHAnsi" w:eastAsiaTheme="majorEastAsia" w:hAnsiTheme="majorHAnsi" w:cstheme="majorBidi"/>
      <w:color w:val="B64926" w:themeColor="accent3"/>
      <w:sz w:val="32"/>
      <w:szCs w:val="28"/>
    </w:rPr>
  </w:style>
  <w:style w:type="paragraph" w:styleId="Heading3">
    <w:name w:val="heading 3"/>
    <w:basedOn w:val="Normal"/>
    <w:next w:val="Normal"/>
    <w:link w:val="Heading3Char"/>
    <w:uiPriority w:val="9"/>
    <w:unhideWhenUsed/>
    <w:qFormat/>
    <w:rsid w:val="00D04ACB"/>
    <w:pPr>
      <w:keepNext/>
      <w:keepLines/>
      <w:numPr>
        <w:ilvl w:val="2"/>
        <w:numId w:val="29"/>
      </w:numPr>
      <w:spacing w:before="240" w:after="120"/>
      <w:outlineLvl w:val="2"/>
    </w:pPr>
    <w:rPr>
      <w:rFonts w:asciiTheme="majorHAnsi" w:eastAsiaTheme="majorEastAsia" w:hAnsiTheme="majorHAnsi" w:cstheme="majorBidi"/>
      <w:sz w:val="28"/>
      <w:szCs w:val="28"/>
    </w:rPr>
  </w:style>
  <w:style w:type="paragraph" w:styleId="Heading4">
    <w:name w:val="heading 4"/>
    <w:basedOn w:val="Normal"/>
    <w:next w:val="Normal"/>
    <w:link w:val="Heading4Char"/>
    <w:uiPriority w:val="9"/>
    <w:unhideWhenUsed/>
    <w:qFormat/>
    <w:rsid w:val="004146E7"/>
    <w:pPr>
      <w:keepNext/>
      <w:keepLines/>
      <w:spacing w:before="120" w:after="120"/>
      <w:outlineLvl w:val="3"/>
    </w:pPr>
    <w:rPr>
      <w:rFonts w:asciiTheme="majorHAnsi" w:eastAsiaTheme="majorEastAsia" w:hAnsiTheme="majorHAnsi" w:cstheme="majorBidi"/>
      <w:b/>
    </w:rPr>
  </w:style>
  <w:style w:type="paragraph" w:styleId="Heading5">
    <w:name w:val="heading 5"/>
    <w:basedOn w:val="Normal"/>
    <w:next w:val="Normal"/>
    <w:link w:val="Heading5Char"/>
    <w:uiPriority w:val="9"/>
    <w:unhideWhenUsed/>
    <w:rsid w:val="004B4B66"/>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unhideWhenUsed/>
    <w:rsid w:val="004B4B66"/>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rsid w:val="004B4B66"/>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4B4B66"/>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4B4B66"/>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
    <w:next w:val="Normal"/>
    <w:link w:val="TitleChar"/>
    <w:uiPriority w:val="10"/>
    <w:qFormat/>
    <w:rsid w:val="003B7A36"/>
    <w:pPr>
      <w:spacing w:after="0" w:line="240" w:lineRule="auto"/>
      <w:contextualSpacing/>
    </w:pPr>
    <w:rPr>
      <w:rFonts w:asciiTheme="majorHAnsi" w:eastAsiaTheme="majorEastAsia" w:hAnsiTheme="majorHAnsi" w:cstheme="majorBidi"/>
      <w:color w:val="B22600" w:themeColor="accent6"/>
      <w:spacing w:val="-10"/>
      <w:sz w:val="48"/>
      <w:szCs w:val="72"/>
    </w:rPr>
  </w:style>
  <w:style w:type="paragraph" w:styleId="Subtitle">
    <w:name w:val="Subtitle"/>
    <w:basedOn w:val="Normal"/>
    <w:next w:val="Normal"/>
    <w:link w:val="SubtitleChar"/>
    <w:uiPriority w:val="11"/>
    <w:qFormat/>
    <w:rsid w:val="00557470"/>
    <w:pPr>
      <w:numPr>
        <w:ilvl w:val="1"/>
      </w:numPr>
    </w:pPr>
    <w:rPr>
      <w:rFonts w:asciiTheme="majorHAnsi" w:eastAsiaTheme="majorEastAsia" w:hAnsiTheme="majorHAnsi" w:cstheme="majorBidi"/>
      <w:i/>
      <w:color w:val="595959" w:themeColor="text1" w:themeTint="A6"/>
      <w:szCs w:val="24"/>
    </w:rPr>
  </w:style>
  <w:style w:type="paragraph" w:styleId="Header">
    <w:name w:val="header"/>
    <w:basedOn w:val="Normal"/>
    <w:link w:val="HeaderChar"/>
    <w:uiPriority w:val="99"/>
    <w:unhideWhenUsed/>
    <w:rsid w:val="007B6ECE"/>
    <w:pPr>
      <w:tabs>
        <w:tab w:val="center" w:pos="4320"/>
        <w:tab w:val="right" w:pos="8640"/>
      </w:tabs>
      <w:spacing w:line="240" w:lineRule="auto"/>
    </w:pPr>
  </w:style>
  <w:style w:type="character" w:customStyle="1" w:styleId="HeaderChar">
    <w:name w:val="Header Char"/>
    <w:basedOn w:val="DefaultParagraphFont"/>
    <w:link w:val="Header"/>
    <w:uiPriority w:val="99"/>
    <w:rsid w:val="007B6ECE"/>
  </w:style>
  <w:style w:type="paragraph" w:styleId="Footer">
    <w:name w:val="footer"/>
    <w:basedOn w:val="Normal"/>
    <w:link w:val="FooterChar"/>
    <w:uiPriority w:val="99"/>
    <w:unhideWhenUsed/>
    <w:rsid w:val="007B6ECE"/>
    <w:pPr>
      <w:tabs>
        <w:tab w:val="center" w:pos="4320"/>
        <w:tab w:val="right" w:pos="8640"/>
      </w:tabs>
      <w:spacing w:line="240" w:lineRule="auto"/>
    </w:pPr>
  </w:style>
  <w:style w:type="character" w:customStyle="1" w:styleId="FooterChar">
    <w:name w:val="Footer Char"/>
    <w:basedOn w:val="DefaultParagraphFont"/>
    <w:link w:val="Footer"/>
    <w:uiPriority w:val="99"/>
    <w:rsid w:val="007B6ECE"/>
  </w:style>
  <w:style w:type="character" w:styleId="PageNumber">
    <w:name w:val="page number"/>
    <w:basedOn w:val="DefaultParagraphFont"/>
    <w:uiPriority w:val="99"/>
    <w:semiHidden/>
    <w:unhideWhenUsed/>
    <w:rsid w:val="007B6ECE"/>
  </w:style>
  <w:style w:type="character" w:styleId="Hyperlink">
    <w:name w:val="Hyperlink"/>
    <w:basedOn w:val="DefaultParagraphFont"/>
    <w:uiPriority w:val="99"/>
    <w:unhideWhenUsed/>
    <w:rsid w:val="003E1EFA"/>
    <w:rPr>
      <w:color w:val="CC9900" w:themeColor="hyperlink"/>
      <w:u w:val="single"/>
    </w:rPr>
  </w:style>
  <w:style w:type="paragraph" w:styleId="ListParagraph">
    <w:name w:val="List Paragraph"/>
    <w:basedOn w:val="Normal"/>
    <w:uiPriority w:val="34"/>
    <w:qFormat/>
    <w:rsid w:val="00E43F24"/>
    <w:pPr>
      <w:ind w:left="720"/>
      <w:contextualSpacing/>
    </w:pPr>
  </w:style>
  <w:style w:type="character" w:styleId="CommentReference">
    <w:name w:val="annotation reference"/>
    <w:basedOn w:val="DefaultParagraphFont"/>
    <w:uiPriority w:val="99"/>
    <w:semiHidden/>
    <w:unhideWhenUsed/>
    <w:rsid w:val="008B4BAA"/>
    <w:rPr>
      <w:sz w:val="16"/>
      <w:szCs w:val="16"/>
    </w:rPr>
  </w:style>
  <w:style w:type="paragraph" w:styleId="CommentText">
    <w:name w:val="annotation text"/>
    <w:basedOn w:val="Normal"/>
    <w:link w:val="CommentTextChar"/>
    <w:uiPriority w:val="99"/>
    <w:semiHidden/>
    <w:unhideWhenUsed/>
    <w:rsid w:val="008B4BAA"/>
    <w:pPr>
      <w:spacing w:line="240" w:lineRule="auto"/>
    </w:pPr>
    <w:rPr>
      <w:sz w:val="20"/>
    </w:rPr>
  </w:style>
  <w:style w:type="character" w:customStyle="1" w:styleId="CommentTextChar">
    <w:name w:val="Comment Text Char"/>
    <w:basedOn w:val="DefaultParagraphFont"/>
    <w:link w:val="CommentText"/>
    <w:uiPriority w:val="99"/>
    <w:semiHidden/>
    <w:rsid w:val="008B4BAA"/>
    <w:rPr>
      <w:sz w:val="20"/>
    </w:rPr>
  </w:style>
  <w:style w:type="paragraph" w:styleId="CommentSubject">
    <w:name w:val="annotation subject"/>
    <w:basedOn w:val="CommentText"/>
    <w:next w:val="CommentText"/>
    <w:link w:val="CommentSubjectChar"/>
    <w:uiPriority w:val="99"/>
    <w:semiHidden/>
    <w:unhideWhenUsed/>
    <w:rsid w:val="008B4BAA"/>
    <w:rPr>
      <w:b/>
      <w:bCs/>
    </w:rPr>
  </w:style>
  <w:style w:type="character" w:customStyle="1" w:styleId="CommentSubjectChar">
    <w:name w:val="Comment Subject Char"/>
    <w:basedOn w:val="CommentTextChar"/>
    <w:link w:val="CommentSubject"/>
    <w:uiPriority w:val="99"/>
    <w:semiHidden/>
    <w:rsid w:val="008B4BAA"/>
    <w:rPr>
      <w:b/>
      <w:bCs/>
      <w:sz w:val="20"/>
    </w:rPr>
  </w:style>
  <w:style w:type="paragraph" w:styleId="BalloonText">
    <w:name w:val="Balloon Text"/>
    <w:basedOn w:val="Normal"/>
    <w:link w:val="BalloonTextChar"/>
    <w:uiPriority w:val="99"/>
    <w:semiHidden/>
    <w:unhideWhenUsed/>
    <w:rsid w:val="008B4BA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4BAA"/>
    <w:rPr>
      <w:rFonts w:ascii="Tahoma" w:hAnsi="Tahoma" w:cs="Tahoma"/>
      <w:sz w:val="16"/>
      <w:szCs w:val="16"/>
    </w:rPr>
  </w:style>
  <w:style w:type="paragraph" w:styleId="FootnoteText">
    <w:name w:val="footnote text"/>
    <w:basedOn w:val="Normal"/>
    <w:link w:val="FootnoteTextChar"/>
    <w:uiPriority w:val="99"/>
    <w:unhideWhenUsed/>
    <w:rsid w:val="00530F5A"/>
    <w:pPr>
      <w:spacing w:line="240" w:lineRule="auto"/>
    </w:pPr>
    <w:rPr>
      <w:rFonts w:asciiTheme="majorHAnsi" w:hAnsiTheme="majorHAnsi"/>
      <w:sz w:val="18"/>
      <w:lang w:eastAsia="ja-JP"/>
    </w:rPr>
  </w:style>
  <w:style w:type="character" w:customStyle="1" w:styleId="FootnoteTextChar">
    <w:name w:val="Footnote Text Char"/>
    <w:basedOn w:val="DefaultParagraphFont"/>
    <w:link w:val="FootnoteText"/>
    <w:uiPriority w:val="99"/>
    <w:rsid w:val="00530F5A"/>
    <w:rPr>
      <w:rFonts w:asciiTheme="majorHAnsi" w:eastAsiaTheme="minorEastAsia" w:hAnsiTheme="majorHAnsi" w:cstheme="minorBidi"/>
      <w:sz w:val="18"/>
      <w:lang w:eastAsia="ja-JP"/>
    </w:rPr>
  </w:style>
  <w:style w:type="character" w:styleId="FootnoteReference">
    <w:name w:val="footnote reference"/>
    <w:basedOn w:val="DefaultParagraphFont"/>
    <w:uiPriority w:val="99"/>
    <w:semiHidden/>
    <w:unhideWhenUsed/>
    <w:rsid w:val="00530F5A"/>
    <w:rPr>
      <w:vertAlign w:val="superscript"/>
    </w:rPr>
  </w:style>
  <w:style w:type="character" w:customStyle="1" w:styleId="Heading1Char">
    <w:name w:val="Heading 1 Char"/>
    <w:basedOn w:val="DefaultParagraphFont"/>
    <w:link w:val="Heading1"/>
    <w:uiPriority w:val="9"/>
    <w:rsid w:val="00361D62"/>
    <w:rPr>
      <w:rFonts w:asciiTheme="majorHAnsi" w:eastAsiaTheme="majorEastAsia" w:hAnsiTheme="majorHAnsi" w:cstheme="majorBidi"/>
      <w:color w:val="B22600" w:themeColor="accent6"/>
      <w:sz w:val="36"/>
      <w:szCs w:val="36"/>
    </w:rPr>
  </w:style>
  <w:style w:type="table" w:styleId="TableGrid">
    <w:name w:val="Table Grid"/>
    <w:basedOn w:val="TableNormal"/>
    <w:uiPriority w:val="59"/>
    <w:rsid w:val="008075ED"/>
    <w:pPr>
      <w:spacing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EE5B52"/>
    <w:pPr>
      <w:spacing w:line="240" w:lineRule="auto"/>
    </w:pPr>
  </w:style>
  <w:style w:type="character" w:customStyle="1" w:styleId="Heading2Char">
    <w:name w:val="Heading 2 Char"/>
    <w:basedOn w:val="DefaultParagraphFont"/>
    <w:link w:val="Heading2"/>
    <w:uiPriority w:val="9"/>
    <w:rsid w:val="00A776A2"/>
    <w:rPr>
      <w:rFonts w:asciiTheme="majorHAnsi" w:eastAsiaTheme="majorEastAsia" w:hAnsiTheme="majorHAnsi" w:cstheme="majorBidi"/>
      <w:color w:val="B64926" w:themeColor="accent3"/>
      <w:sz w:val="32"/>
      <w:szCs w:val="28"/>
    </w:rPr>
  </w:style>
  <w:style w:type="character" w:customStyle="1" w:styleId="Heading3Char">
    <w:name w:val="Heading 3 Char"/>
    <w:basedOn w:val="DefaultParagraphFont"/>
    <w:link w:val="Heading3"/>
    <w:uiPriority w:val="9"/>
    <w:rsid w:val="00D04ACB"/>
    <w:rPr>
      <w:rFonts w:asciiTheme="majorHAnsi" w:eastAsiaTheme="majorEastAsia" w:hAnsiTheme="majorHAnsi" w:cstheme="majorBidi"/>
      <w:sz w:val="28"/>
      <w:szCs w:val="28"/>
    </w:rPr>
  </w:style>
  <w:style w:type="character" w:customStyle="1" w:styleId="Heading4Char">
    <w:name w:val="Heading 4 Char"/>
    <w:basedOn w:val="DefaultParagraphFont"/>
    <w:link w:val="Heading4"/>
    <w:uiPriority w:val="9"/>
    <w:rsid w:val="004146E7"/>
    <w:rPr>
      <w:rFonts w:asciiTheme="majorHAnsi" w:eastAsiaTheme="majorEastAsia" w:hAnsiTheme="majorHAnsi" w:cstheme="majorBidi"/>
      <w:b/>
      <w:sz w:val="24"/>
    </w:rPr>
  </w:style>
  <w:style w:type="character" w:customStyle="1" w:styleId="Heading5Char">
    <w:name w:val="Heading 5 Char"/>
    <w:basedOn w:val="DefaultParagraphFont"/>
    <w:link w:val="Heading5"/>
    <w:uiPriority w:val="9"/>
    <w:rsid w:val="004B4B66"/>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rsid w:val="004B4B66"/>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4B4B66"/>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4B4B66"/>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4B4B66"/>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unhideWhenUsed/>
    <w:qFormat/>
    <w:rsid w:val="009E1416"/>
    <w:pPr>
      <w:spacing w:after="360" w:line="240" w:lineRule="auto"/>
      <w:ind w:left="432" w:right="432"/>
      <w:jc w:val="both"/>
    </w:pPr>
    <w:rPr>
      <w:bCs/>
      <w:color w:val="595959" w:themeColor="text1" w:themeTint="A6"/>
      <w:sz w:val="21"/>
    </w:rPr>
  </w:style>
  <w:style w:type="character" w:customStyle="1" w:styleId="TitleChar">
    <w:name w:val="Title Char"/>
    <w:basedOn w:val="DefaultParagraphFont"/>
    <w:link w:val="Title"/>
    <w:uiPriority w:val="10"/>
    <w:rsid w:val="003B7A36"/>
    <w:rPr>
      <w:rFonts w:asciiTheme="majorHAnsi" w:eastAsiaTheme="majorEastAsia" w:hAnsiTheme="majorHAnsi" w:cstheme="majorBidi"/>
      <w:color w:val="B22600" w:themeColor="accent6"/>
      <w:spacing w:val="-10"/>
      <w:sz w:val="48"/>
      <w:szCs w:val="72"/>
    </w:rPr>
  </w:style>
  <w:style w:type="character" w:customStyle="1" w:styleId="SubtitleChar">
    <w:name w:val="Subtitle Char"/>
    <w:basedOn w:val="DefaultParagraphFont"/>
    <w:link w:val="Subtitle"/>
    <w:uiPriority w:val="11"/>
    <w:rsid w:val="00557470"/>
    <w:rPr>
      <w:rFonts w:asciiTheme="majorHAnsi" w:eastAsiaTheme="majorEastAsia" w:hAnsiTheme="majorHAnsi" w:cstheme="majorBidi"/>
      <w:i/>
      <w:color w:val="595959" w:themeColor="text1" w:themeTint="A6"/>
      <w:sz w:val="24"/>
      <w:szCs w:val="24"/>
    </w:rPr>
  </w:style>
  <w:style w:type="character" w:styleId="Strong">
    <w:name w:val="Strong"/>
    <w:basedOn w:val="DefaultParagraphFont"/>
    <w:uiPriority w:val="22"/>
    <w:rsid w:val="004B4B66"/>
    <w:rPr>
      <w:b/>
      <w:bCs/>
    </w:rPr>
  </w:style>
  <w:style w:type="character" w:styleId="Emphasis">
    <w:name w:val="Emphasis"/>
    <w:basedOn w:val="DefaultParagraphFont"/>
    <w:uiPriority w:val="20"/>
    <w:qFormat/>
    <w:rsid w:val="004B4B66"/>
    <w:rPr>
      <w:i/>
      <w:iCs/>
    </w:rPr>
  </w:style>
  <w:style w:type="paragraph" w:styleId="NoSpacing">
    <w:name w:val="No Spacing"/>
    <w:link w:val="NoSpacingChar"/>
    <w:uiPriority w:val="1"/>
    <w:qFormat/>
    <w:rsid w:val="004B4B66"/>
    <w:pPr>
      <w:spacing w:after="0" w:line="240" w:lineRule="auto"/>
    </w:pPr>
  </w:style>
  <w:style w:type="paragraph" w:styleId="Quote">
    <w:name w:val="Quote"/>
    <w:basedOn w:val="Normal"/>
    <w:next w:val="Normal"/>
    <w:link w:val="QuoteChar"/>
    <w:uiPriority w:val="29"/>
    <w:rsid w:val="004B4B66"/>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4B4B66"/>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rsid w:val="004B4B66"/>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4B4B66"/>
    <w:rPr>
      <w:color w:val="404040" w:themeColor="text1" w:themeTint="BF"/>
      <w:sz w:val="32"/>
      <w:szCs w:val="32"/>
    </w:rPr>
  </w:style>
  <w:style w:type="character" w:styleId="SubtleEmphasis">
    <w:name w:val="Subtle Emphasis"/>
    <w:basedOn w:val="DefaultParagraphFont"/>
    <w:uiPriority w:val="19"/>
    <w:qFormat/>
    <w:rsid w:val="004B4B66"/>
    <w:rPr>
      <w:i/>
      <w:iCs/>
      <w:color w:val="595959" w:themeColor="text1" w:themeTint="A6"/>
    </w:rPr>
  </w:style>
  <w:style w:type="character" w:styleId="IntenseEmphasis">
    <w:name w:val="Intense Emphasis"/>
    <w:basedOn w:val="DefaultParagraphFont"/>
    <w:uiPriority w:val="21"/>
    <w:rsid w:val="004B4B66"/>
    <w:rPr>
      <w:b/>
      <w:bCs/>
      <w:i/>
      <w:iCs/>
    </w:rPr>
  </w:style>
  <w:style w:type="character" w:styleId="SubtleReference">
    <w:name w:val="Subtle Reference"/>
    <w:basedOn w:val="DefaultParagraphFont"/>
    <w:uiPriority w:val="31"/>
    <w:rsid w:val="004B4B66"/>
    <w:rPr>
      <w:smallCaps/>
      <w:color w:val="404040" w:themeColor="text1" w:themeTint="BF"/>
      <w:u w:val="single" w:color="7F7F7F" w:themeColor="text1" w:themeTint="80"/>
    </w:rPr>
  </w:style>
  <w:style w:type="character" w:styleId="IntenseReference">
    <w:name w:val="Intense Reference"/>
    <w:basedOn w:val="DefaultParagraphFont"/>
    <w:uiPriority w:val="32"/>
    <w:rsid w:val="004B4B66"/>
    <w:rPr>
      <w:b/>
      <w:bCs/>
      <w:caps w:val="0"/>
      <w:smallCaps/>
      <w:color w:val="auto"/>
      <w:spacing w:val="3"/>
      <w:u w:val="single"/>
    </w:rPr>
  </w:style>
  <w:style w:type="character" w:styleId="BookTitle">
    <w:name w:val="Book Title"/>
    <w:basedOn w:val="DefaultParagraphFont"/>
    <w:uiPriority w:val="33"/>
    <w:rsid w:val="004B4B66"/>
    <w:rPr>
      <w:b/>
      <w:bCs/>
      <w:smallCaps/>
      <w:spacing w:val="7"/>
    </w:rPr>
  </w:style>
  <w:style w:type="paragraph" w:styleId="TOCHeading">
    <w:name w:val="TOC Heading"/>
    <w:basedOn w:val="Heading1"/>
    <w:next w:val="Normal"/>
    <w:uiPriority w:val="39"/>
    <w:semiHidden/>
    <w:unhideWhenUsed/>
    <w:qFormat/>
    <w:rsid w:val="004B4B66"/>
    <w:pPr>
      <w:outlineLvl w:val="9"/>
    </w:pPr>
  </w:style>
  <w:style w:type="paragraph" w:customStyle="1" w:styleId="Heading0">
    <w:name w:val="Heading 0"/>
    <w:basedOn w:val="Heading1"/>
    <w:link w:val="Heading0Char"/>
    <w:qFormat/>
    <w:rsid w:val="00A21BB3"/>
    <w:pPr>
      <w:numPr>
        <w:numId w:val="0"/>
      </w:numPr>
    </w:pPr>
  </w:style>
  <w:style w:type="paragraph" w:styleId="TOC2">
    <w:name w:val="toc 2"/>
    <w:basedOn w:val="Normal"/>
    <w:next w:val="Normal"/>
    <w:autoRedefine/>
    <w:uiPriority w:val="39"/>
    <w:unhideWhenUsed/>
    <w:rsid w:val="00DC43BD"/>
    <w:pPr>
      <w:spacing w:after="100"/>
      <w:ind w:left="220"/>
    </w:pPr>
  </w:style>
  <w:style w:type="character" w:customStyle="1" w:styleId="Heading0Char">
    <w:name w:val="Heading 0 Char"/>
    <w:basedOn w:val="Heading1Char"/>
    <w:link w:val="Heading0"/>
    <w:rsid w:val="00A21BB3"/>
    <w:rPr>
      <w:rFonts w:asciiTheme="majorHAnsi" w:eastAsiaTheme="majorEastAsia" w:hAnsiTheme="majorHAnsi" w:cstheme="majorBidi"/>
      <w:caps w:val="0"/>
      <w:color w:val="B22600" w:themeColor="accent6"/>
      <w:sz w:val="36"/>
      <w:szCs w:val="36"/>
    </w:rPr>
  </w:style>
  <w:style w:type="paragraph" w:styleId="TOC1">
    <w:name w:val="toc 1"/>
    <w:basedOn w:val="Normal"/>
    <w:next w:val="Normal"/>
    <w:autoRedefine/>
    <w:uiPriority w:val="39"/>
    <w:unhideWhenUsed/>
    <w:rsid w:val="00DC43BD"/>
    <w:pPr>
      <w:spacing w:after="100"/>
    </w:pPr>
  </w:style>
  <w:style w:type="paragraph" w:styleId="TOC3">
    <w:name w:val="toc 3"/>
    <w:basedOn w:val="Normal"/>
    <w:next w:val="Normal"/>
    <w:autoRedefine/>
    <w:uiPriority w:val="39"/>
    <w:unhideWhenUsed/>
    <w:rsid w:val="00DC43BD"/>
    <w:pPr>
      <w:spacing w:after="100"/>
      <w:ind w:left="440"/>
    </w:pPr>
  </w:style>
  <w:style w:type="character" w:customStyle="1" w:styleId="NoSpacingChar">
    <w:name w:val="No Spacing Char"/>
    <w:basedOn w:val="DefaultParagraphFont"/>
    <w:link w:val="NoSpacing"/>
    <w:uiPriority w:val="1"/>
    <w:rsid w:val="002832B1"/>
  </w:style>
  <w:style w:type="numbering" w:customStyle="1" w:styleId="Headings">
    <w:name w:val="Headings"/>
    <w:uiPriority w:val="99"/>
    <w:rsid w:val="000F348A"/>
    <w:pPr>
      <w:numPr>
        <w:numId w:val="39"/>
      </w:numPr>
    </w:pPr>
  </w:style>
  <w:style w:type="paragraph" w:styleId="EndnoteText">
    <w:name w:val="endnote text"/>
    <w:basedOn w:val="Normal"/>
    <w:link w:val="EndnoteTextChar"/>
    <w:autoRedefine/>
    <w:uiPriority w:val="99"/>
    <w:unhideWhenUsed/>
    <w:qFormat/>
    <w:rsid w:val="00AA6B2A"/>
    <w:pPr>
      <w:spacing w:before="240" w:after="240" w:line="240" w:lineRule="auto"/>
    </w:pPr>
    <w:rPr>
      <w:rFonts w:ascii="Gill Sans MT" w:hAnsi="Gill Sans MT" w:cs="Times New Roman"/>
      <w:sz w:val="22"/>
      <w:szCs w:val="24"/>
    </w:rPr>
  </w:style>
  <w:style w:type="character" w:customStyle="1" w:styleId="EndnoteTextChar">
    <w:name w:val="Endnote Text Char"/>
    <w:basedOn w:val="DefaultParagraphFont"/>
    <w:link w:val="EndnoteText"/>
    <w:uiPriority w:val="99"/>
    <w:rsid w:val="00AA6B2A"/>
    <w:rPr>
      <w:rFonts w:ascii="Gill Sans MT" w:hAnsi="Gill Sans MT" w:cs="Times New Roman"/>
      <w:szCs w:val="24"/>
    </w:rPr>
  </w:style>
  <w:style w:type="character" w:styleId="EndnoteReference">
    <w:name w:val="endnote reference"/>
    <w:basedOn w:val="DefaultParagraphFont"/>
    <w:uiPriority w:val="99"/>
    <w:semiHidden/>
    <w:unhideWhenUsed/>
    <w:rsid w:val="0017765B"/>
    <w:rPr>
      <w:vertAlign w:val="superscript"/>
    </w:rPr>
  </w:style>
  <w:style w:type="paragraph" w:styleId="Bibliography">
    <w:name w:val="Bibliography"/>
    <w:basedOn w:val="Normal"/>
    <w:next w:val="Normal"/>
    <w:uiPriority w:val="37"/>
    <w:unhideWhenUsed/>
    <w:rsid w:val="000C64A8"/>
    <w:pPr>
      <w:spacing w:after="0" w:line="240" w:lineRule="auto"/>
      <w:ind w:left="720" w:hanging="720"/>
    </w:pPr>
  </w:style>
  <w:style w:type="paragraph" w:styleId="TableofFigures">
    <w:name w:val="table of figures"/>
    <w:basedOn w:val="Normal"/>
    <w:next w:val="Normal"/>
    <w:uiPriority w:val="99"/>
    <w:unhideWhenUsed/>
    <w:rsid w:val="007A07FC"/>
    <w:pPr>
      <w:spacing w:after="0"/>
    </w:pPr>
  </w:style>
  <w:style w:type="paragraph" w:styleId="DocumentMap">
    <w:name w:val="Document Map"/>
    <w:basedOn w:val="Normal"/>
    <w:link w:val="DocumentMapChar"/>
    <w:uiPriority w:val="99"/>
    <w:semiHidden/>
    <w:unhideWhenUsed/>
    <w:rsid w:val="0027242B"/>
    <w:pPr>
      <w:spacing w:after="0" w:line="240" w:lineRule="auto"/>
    </w:pPr>
    <w:rPr>
      <w:rFonts w:ascii="Lucida Grande" w:hAnsi="Lucida Grande"/>
      <w:szCs w:val="24"/>
    </w:rPr>
  </w:style>
  <w:style w:type="character" w:customStyle="1" w:styleId="DocumentMapChar">
    <w:name w:val="Document Map Char"/>
    <w:basedOn w:val="DefaultParagraphFont"/>
    <w:link w:val="DocumentMap"/>
    <w:uiPriority w:val="99"/>
    <w:semiHidden/>
    <w:rsid w:val="0027242B"/>
    <w:rPr>
      <w:rFonts w:ascii="Lucida Grande" w:hAnsi="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95865">
      <w:bodyDiv w:val="1"/>
      <w:marLeft w:val="0"/>
      <w:marRight w:val="0"/>
      <w:marTop w:val="0"/>
      <w:marBottom w:val="0"/>
      <w:divBdr>
        <w:top w:val="none" w:sz="0" w:space="0" w:color="auto"/>
        <w:left w:val="none" w:sz="0" w:space="0" w:color="auto"/>
        <w:bottom w:val="none" w:sz="0" w:space="0" w:color="auto"/>
        <w:right w:val="none" w:sz="0" w:space="0" w:color="auto"/>
      </w:divBdr>
    </w:div>
    <w:div w:id="48186162">
      <w:bodyDiv w:val="1"/>
      <w:marLeft w:val="0"/>
      <w:marRight w:val="0"/>
      <w:marTop w:val="0"/>
      <w:marBottom w:val="0"/>
      <w:divBdr>
        <w:top w:val="none" w:sz="0" w:space="0" w:color="auto"/>
        <w:left w:val="none" w:sz="0" w:space="0" w:color="auto"/>
        <w:bottom w:val="none" w:sz="0" w:space="0" w:color="auto"/>
        <w:right w:val="none" w:sz="0" w:space="0" w:color="auto"/>
      </w:divBdr>
      <w:divsChild>
        <w:div w:id="160825457">
          <w:marLeft w:val="0"/>
          <w:marRight w:val="0"/>
          <w:marTop w:val="0"/>
          <w:marBottom w:val="0"/>
          <w:divBdr>
            <w:top w:val="none" w:sz="0" w:space="0" w:color="auto"/>
            <w:left w:val="none" w:sz="0" w:space="0" w:color="auto"/>
            <w:bottom w:val="none" w:sz="0" w:space="0" w:color="auto"/>
            <w:right w:val="none" w:sz="0" w:space="0" w:color="auto"/>
          </w:divBdr>
          <w:divsChild>
            <w:div w:id="776482993">
              <w:marLeft w:val="0"/>
              <w:marRight w:val="0"/>
              <w:marTop w:val="0"/>
              <w:marBottom w:val="0"/>
              <w:divBdr>
                <w:top w:val="none" w:sz="0" w:space="0" w:color="auto"/>
                <w:left w:val="none" w:sz="0" w:space="0" w:color="auto"/>
                <w:bottom w:val="none" w:sz="0" w:space="0" w:color="auto"/>
                <w:right w:val="none" w:sz="0" w:space="0" w:color="auto"/>
              </w:divBdr>
              <w:divsChild>
                <w:div w:id="110700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33728">
      <w:bodyDiv w:val="1"/>
      <w:marLeft w:val="0"/>
      <w:marRight w:val="0"/>
      <w:marTop w:val="0"/>
      <w:marBottom w:val="0"/>
      <w:divBdr>
        <w:top w:val="none" w:sz="0" w:space="0" w:color="auto"/>
        <w:left w:val="none" w:sz="0" w:space="0" w:color="auto"/>
        <w:bottom w:val="none" w:sz="0" w:space="0" w:color="auto"/>
        <w:right w:val="none" w:sz="0" w:space="0" w:color="auto"/>
      </w:divBdr>
      <w:divsChild>
        <w:div w:id="437988732">
          <w:marLeft w:val="274"/>
          <w:marRight w:val="0"/>
          <w:marTop w:val="0"/>
          <w:marBottom w:val="0"/>
          <w:divBdr>
            <w:top w:val="none" w:sz="0" w:space="0" w:color="auto"/>
            <w:left w:val="none" w:sz="0" w:space="0" w:color="auto"/>
            <w:bottom w:val="none" w:sz="0" w:space="0" w:color="auto"/>
            <w:right w:val="none" w:sz="0" w:space="0" w:color="auto"/>
          </w:divBdr>
        </w:div>
      </w:divsChild>
    </w:div>
    <w:div w:id="179129176">
      <w:bodyDiv w:val="1"/>
      <w:marLeft w:val="0"/>
      <w:marRight w:val="0"/>
      <w:marTop w:val="0"/>
      <w:marBottom w:val="0"/>
      <w:divBdr>
        <w:top w:val="none" w:sz="0" w:space="0" w:color="auto"/>
        <w:left w:val="none" w:sz="0" w:space="0" w:color="auto"/>
        <w:bottom w:val="none" w:sz="0" w:space="0" w:color="auto"/>
        <w:right w:val="none" w:sz="0" w:space="0" w:color="auto"/>
      </w:divBdr>
      <w:divsChild>
        <w:div w:id="799348551">
          <w:marLeft w:val="461"/>
          <w:marRight w:val="0"/>
          <w:marTop w:val="120"/>
          <w:marBottom w:val="0"/>
          <w:divBdr>
            <w:top w:val="none" w:sz="0" w:space="0" w:color="auto"/>
            <w:left w:val="none" w:sz="0" w:space="0" w:color="auto"/>
            <w:bottom w:val="none" w:sz="0" w:space="0" w:color="auto"/>
            <w:right w:val="none" w:sz="0" w:space="0" w:color="auto"/>
          </w:divBdr>
        </w:div>
      </w:divsChild>
    </w:div>
    <w:div w:id="290206450">
      <w:bodyDiv w:val="1"/>
      <w:marLeft w:val="0"/>
      <w:marRight w:val="0"/>
      <w:marTop w:val="0"/>
      <w:marBottom w:val="0"/>
      <w:divBdr>
        <w:top w:val="none" w:sz="0" w:space="0" w:color="auto"/>
        <w:left w:val="none" w:sz="0" w:space="0" w:color="auto"/>
        <w:bottom w:val="none" w:sz="0" w:space="0" w:color="auto"/>
        <w:right w:val="none" w:sz="0" w:space="0" w:color="auto"/>
      </w:divBdr>
    </w:div>
    <w:div w:id="503205041">
      <w:bodyDiv w:val="1"/>
      <w:marLeft w:val="0"/>
      <w:marRight w:val="0"/>
      <w:marTop w:val="0"/>
      <w:marBottom w:val="0"/>
      <w:divBdr>
        <w:top w:val="none" w:sz="0" w:space="0" w:color="auto"/>
        <w:left w:val="none" w:sz="0" w:space="0" w:color="auto"/>
        <w:bottom w:val="none" w:sz="0" w:space="0" w:color="auto"/>
        <w:right w:val="none" w:sz="0" w:space="0" w:color="auto"/>
      </w:divBdr>
    </w:div>
    <w:div w:id="668870305">
      <w:bodyDiv w:val="1"/>
      <w:marLeft w:val="0"/>
      <w:marRight w:val="0"/>
      <w:marTop w:val="0"/>
      <w:marBottom w:val="0"/>
      <w:divBdr>
        <w:top w:val="none" w:sz="0" w:space="0" w:color="auto"/>
        <w:left w:val="none" w:sz="0" w:space="0" w:color="auto"/>
        <w:bottom w:val="none" w:sz="0" w:space="0" w:color="auto"/>
        <w:right w:val="none" w:sz="0" w:space="0" w:color="auto"/>
      </w:divBdr>
      <w:divsChild>
        <w:div w:id="1491797881">
          <w:marLeft w:val="0"/>
          <w:marRight w:val="0"/>
          <w:marTop w:val="0"/>
          <w:marBottom w:val="0"/>
          <w:divBdr>
            <w:top w:val="none" w:sz="0" w:space="0" w:color="auto"/>
            <w:left w:val="none" w:sz="0" w:space="0" w:color="auto"/>
            <w:bottom w:val="none" w:sz="0" w:space="0" w:color="auto"/>
            <w:right w:val="none" w:sz="0" w:space="0" w:color="auto"/>
          </w:divBdr>
          <w:divsChild>
            <w:div w:id="568199171">
              <w:marLeft w:val="0"/>
              <w:marRight w:val="0"/>
              <w:marTop w:val="0"/>
              <w:marBottom w:val="0"/>
              <w:divBdr>
                <w:top w:val="none" w:sz="0" w:space="0" w:color="auto"/>
                <w:left w:val="none" w:sz="0" w:space="0" w:color="auto"/>
                <w:bottom w:val="none" w:sz="0" w:space="0" w:color="auto"/>
                <w:right w:val="none" w:sz="0" w:space="0" w:color="auto"/>
              </w:divBdr>
              <w:divsChild>
                <w:div w:id="58264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562867">
      <w:bodyDiv w:val="1"/>
      <w:marLeft w:val="0"/>
      <w:marRight w:val="0"/>
      <w:marTop w:val="0"/>
      <w:marBottom w:val="0"/>
      <w:divBdr>
        <w:top w:val="none" w:sz="0" w:space="0" w:color="auto"/>
        <w:left w:val="none" w:sz="0" w:space="0" w:color="auto"/>
        <w:bottom w:val="none" w:sz="0" w:space="0" w:color="auto"/>
        <w:right w:val="none" w:sz="0" w:space="0" w:color="auto"/>
      </w:divBdr>
    </w:div>
    <w:div w:id="823424658">
      <w:bodyDiv w:val="1"/>
      <w:marLeft w:val="0"/>
      <w:marRight w:val="0"/>
      <w:marTop w:val="0"/>
      <w:marBottom w:val="0"/>
      <w:divBdr>
        <w:top w:val="none" w:sz="0" w:space="0" w:color="auto"/>
        <w:left w:val="none" w:sz="0" w:space="0" w:color="auto"/>
        <w:bottom w:val="none" w:sz="0" w:space="0" w:color="auto"/>
        <w:right w:val="none" w:sz="0" w:space="0" w:color="auto"/>
      </w:divBdr>
    </w:div>
    <w:div w:id="874731665">
      <w:bodyDiv w:val="1"/>
      <w:marLeft w:val="0"/>
      <w:marRight w:val="0"/>
      <w:marTop w:val="0"/>
      <w:marBottom w:val="0"/>
      <w:divBdr>
        <w:top w:val="none" w:sz="0" w:space="0" w:color="auto"/>
        <w:left w:val="none" w:sz="0" w:space="0" w:color="auto"/>
        <w:bottom w:val="none" w:sz="0" w:space="0" w:color="auto"/>
        <w:right w:val="none" w:sz="0" w:space="0" w:color="auto"/>
      </w:divBdr>
    </w:div>
    <w:div w:id="1256129271">
      <w:bodyDiv w:val="1"/>
      <w:marLeft w:val="0"/>
      <w:marRight w:val="0"/>
      <w:marTop w:val="0"/>
      <w:marBottom w:val="0"/>
      <w:divBdr>
        <w:top w:val="none" w:sz="0" w:space="0" w:color="auto"/>
        <w:left w:val="none" w:sz="0" w:space="0" w:color="auto"/>
        <w:bottom w:val="none" w:sz="0" w:space="0" w:color="auto"/>
        <w:right w:val="none" w:sz="0" w:space="0" w:color="auto"/>
      </w:divBdr>
      <w:divsChild>
        <w:div w:id="1495141582">
          <w:marLeft w:val="0"/>
          <w:marRight w:val="0"/>
          <w:marTop w:val="0"/>
          <w:marBottom w:val="0"/>
          <w:divBdr>
            <w:top w:val="none" w:sz="0" w:space="0" w:color="auto"/>
            <w:left w:val="none" w:sz="0" w:space="0" w:color="auto"/>
            <w:bottom w:val="none" w:sz="0" w:space="0" w:color="auto"/>
            <w:right w:val="none" w:sz="0" w:space="0" w:color="auto"/>
          </w:divBdr>
          <w:divsChild>
            <w:div w:id="945424720">
              <w:marLeft w:val="0"/>
              <w:marRight w:val="0"/>
              <w:marTop w:val="0"/>
              <w:marBottom w:val="0"/>
              <w:divBdr>
                <w:top w:val="none" w:sz="0" w:space="0" w:color="auto"/>
                <w:left w:val="none" w:sz="0" w:space="0" w:color="auto"/>
                <w:bottom w:val="none" w:sz="0" w:space="0" w:color="auto"/>
                <w:right w:val="none" w:sz="0" w:space="0" w:color="auto"/>
              </w:divBdr>
              <w:divsChild>
                <w:div w:id="180650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4205">
      <w:bodyDiv w:val="1"/>
      <w:marLeft w:val="0"/>
      <w:marRight w:val="0"/>
      <w:marTop w:val="0"/>
      <w:marBottom w:val="0"/>
      <w:divBdr>
        <w:top w:val="none" w:sz="0" w:space="0" w:color="auto"/>
        <w:left w:val="none" w:sz="0" w:space="0" w:color="auto"/>
        <w:bottom w:val="none" w:sz="0" w:space="0" w:color="auto"/>
        <w:right w:val="none" w:sz="0" w:space="0" w:color="auto"/>
      </w:divBdr>
      <w:divsChild>
        <w:div w:id="1539928562">
          <w:marLeft w:val="274"/>
          <w:marRight w:val="0"/>
          <w:marTop w:val="0"/>
          <w:marBottom w:val="0"/>
          <w:divBdr>
            <w:top w:val="none" w:sz="0" w:space="0" w:color="auto"/>
            <w:left w:val="none" w:sz="0" w:space="0" w:color="auto"/>
            <w:bottom w:val="none" w:sz="0" w:space="0" w:color="auto"/>
            <w:right w:val="none" w:sz="0" w:space="0" w:color="auto"/>
          </w:divBdr>
        </w:div>
        <w:div w:id="1502768190">
          <w:marLeft w:val="274"/>
          <w:marRight w:val="0"/>
          <w:marTop w:val="0"/>
          <w:marBottom w:val="0"/>
          <w:divBdr>
            <w:top w:val="none" w:sz="0" w:space="0" w:color="auto"/>
            <w:left w:val="none" w:sz="0" w:space="0" w:color="auto"/>
            <w:bottom w:val="none" w:sz="0" w:space="0" w:color="auto"/>
            <w:right w:val="none" w:sz="0" w:space="0" w:color="auto"/>
          </w:divBdr>
        </w:div>
        <w:div w:id="1934580770">
          <w:marLeft w:val="274"/>
          <w:marRight w:val="0"/>
          <w:marTop w:val="0"/>
          <w:marBottom w:val="0"/>
          <w:divBdr>
            <w:top w:val="none" w:sz="0" w:space="0" w:color="auto"/>
            <w:left w:val="none" w:sz="0" w:space="0" w:color="auto"/>
            <w:bottom w:val="none" w:sz="0" w:space="0" w:color="auto"/>
            <w:right w:val="none" w:sz="0" w:space="0" w:color="auto"/>
          </w:divBdr>
        </w:div>
        <w:div w:id="236594238">
          <w:marLeft w:val="274"/>
          <w:marRight w:val="0"/>
          <w:marTop w:val="0"/>
          <w:marBottom w:val="0"/>
          <w:divBdr>
            <w:top w:val="none" w:sz="0" w:space="0" w:color="auto"/>
            <w:left w:val="none" w:sz="0" w:space="0" w:color="auto"/>
            <w:bottom w:val="none" w:sz="0" w:space="0" w:color="auto"/>
            <w:right w:val="none" w:sz="0" w:space="0" w:color="auto"/>
          </w:divBdr>
        </w:div>
        <w:div w:id="1904441928">
          <w:marLeft w:val="274"/>
          <w:marRight w:val="0"/>
          <w:marTop w:val="0"/>
          <w:marBottom w:val="0"/>
          <w:divBdr>
            <w:top w:val="none" w:sz="0" w:space="0" w:color="auto"/>
            <w:left w:val="none" w:sz="0" w:space="0" w:color="auto"/>
            <w:bottom w:val="none" w:sz="0" w:space="0" w:color="auto"/>
            <w:right w:val="none" w:sz="0" w:space="0" w:color="auto"/>
          </w:divBdr>
        </w:div>
        <w:div w:id="1716856342">
          <w:marLeft w:val="274"/>
          <w:marRight w:val="0"/>
          <w:marTop w:val="0"/>
          <w:marBottom w:val="0"/>
          <w:divBdr>
            <w:top w:val="none" w:sz="0" w:space="0" w:color="auto"/>
            <w:left w:val="none" w:sz="0" w:space="0" w:color="auto"/>
            <w:bottom w:val="none" w:sz="0" w:space="0" w:color="auto"/>
            <w:right w:val="none" w:sz="0" w:space="0" w:color="auto"/>
          </w:divBdr>
        </w:div>
        <w:div w:id="1616448061">
          <w:marLeft w:val="274"/>
          <w:marRight w:val="0"/>
          <w:marTop w:val="0"/>
          <w:marBottom w:val="0"/>
          <w:divBdr>
            <w:top w:val="none" w:sz="0" w:space="0" w:color="auto"/>
            <w:left w:val="none" w:sz="0" w:space="0" w:color="auto"/>
            <w:bottom w:val="none" w:sz="0" w:space="0" w:color="auto"/>
            <w:right w:val="none" w:sz="0" w:space="0" w:color="auto"/>
          </w:divBdr>
        </w:div>
        <w:div w:id="1569611157">
          <w:marLeft w:val="274"/>
          <w:marRight w:val="0"/>
          <w:marTop w:val="0"/>
          <w:marBottom w:val="0"/>
          <w:divBdr>
            <w:top w:val="none" w:sz="0" w:space="0" w:color="auto"/>
            <w:left w:val="none" w:sz="0" w:space="0" w:color="auto"/>
            <w:bottom w:val="none" w:sz="0" w:space="0" w:color="auto"/>
            <w:right w:val="none" w:sz="0" w:space="0" w:color="auto"/>
          </w:divBdr>
        </w:div>
        <w:div w:id="346180669">
          <w:marLeft w:val="994"/>
          <w:marRight w:val="0"/>
          <w:marTop w:val="0"/>
          <w:marBottom w:val="0"/>
          <w:divBdr>
            <w:top w:val="none" w:sz="0" w:space="0" w:color="auto"/>
            <w:left w:val="none" w:sz="0" w:space="0" w:color="auto"/>
            <w:bottom w:val="none" w:sz="0" w:space="0" w:color="auto"/>
            <w:right w:val="none" w:sz="0" w:space="0" w:color="auto"/>
          </w:divBdr>
        </w:div>
      </w:divsChild>
    </w:div>
    <w:div w:id="1439367667">
      <w:bodyDiv w:val="1"/>
      <w:marLeft w:val="0"/>
      <w:marRight w:val="0"/>
      <w:marTop w:val="0"/>
      <w:marBottom w:val="0"/>
      <w:divBdr>
        <w:top w:val="none" w:sz="0" w:space="0" w:color="auto"/>
        <w:left w:val="none" w:sz="0" w:space="0" w:color="auto"/>
        <w:bottom w:val="none" w:sz="0" w:space="0" w:color="auto"/>
        <w:right w:val="none" w:sz="0" w:space="0" w:color="auto"/>
      </w:divBdr>
      <w:divsChild>
        <w:div w:id="1373768707">
          <w:marLeft w:val="0"/>
          <w:marRight w:val="0"/>
          <w:marTop w:val="0"/>
          <w:marBottom w:val="0"/>
          <w:divBdr>
            <w:top w:val="none" w:sz="0" w:space="0" w:color="auto"/>
            <w:left w:val="none" w:sz="0" w:space="0" w:color="auto"/>
            <w:bottom w:val="none" w:sz="0" w:space="0" w:color="auto"/>
            <w:right w:val="none" w:sz="0" w:space="0" w:color="auto"/>
          </w:divBdr>
          <w:divsChild>
            <w:div w:id="1126659683">
              <w:marLeft w:val="0"/>
              <w:marRight w:val="0"/>
              <w:marTop w:val="0"/>
              <w:marBottom w:val="0"/>
              <w:divBdr>
                <w:top w:val="none" w:sz="0" w:space="0" w:color="auto"/>
                <w:left w:val="none" w:sz="0" w:space="0" w:color="auto"/>
                <w:bottom w:val="none" w:sz="0" w:space="0" w:color="auto"/>
                <w:right w:val="none" w:sz="0" w:space="0" w:color="auto"/>
              </w:divBdr>
              <w:divsChild>
                <w:div w:id="1910992038">
                  <w:marLeft w:val="0"/>
                  <w:marRight w:val="0"/>
                  <w:marTop w:val="0"/>
                  <w:marBottom w:val="0"/>
                  <w:divBdr>
                    <w:top w:val="none" w:sz="0" w:space="0" w:color="auto"/>
                    <w:left w:val="none" w:sz="0" w:space="0" w:color="auto"/>
                    <w:bottom w:val="none" w:sz="0" w:space="0" w:color="auto"/>
                    <w:right w:val="none" w:sz="0" w:space="0" w:color="auto"/>
                  </w:divBdr>
                </w:div>
              </w:divsChild>
            </w:div>
            <w:div w:id="765267601">
              <w:marLeft w:val="0"/>
              <w:marRight w:val="0"/>
              <w:marTop w:val="0"/>
              <w:marBottom w:val="0"/>
              <w:divBdr>
                <w:top w:val="none" w:sz="0" w:space="0" w:color="auto"/>
                <w:left w:val="none" w:sz="0" w:space="0" w:color="auto"/>
                <w:bottom w:val="none" w:sz="0" w:space="0" w:color="auto"/>
                <w:right w:val="none" w:sz="0" w:space="0" w:color="auto"/>
              </w:divBdr>
              <w:divsChild>
                <w:div w:id="140294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421693">
      <w:bodyDiv w:val="1"/>
      <w:marLeft w:val="0"/>
      <w:marRight w:val="0"/>
      <w:marTop w:val="0"/>
      <w:marBottom w:val="0"/>
      <w:divBdr>
        <w:top w:val="none" w:sz="0" w:space="0" w:color="auto"/>
        <w:left w:val="none" w:sz="0" w:space="0" w:color="auto"/>
        <w:bottom w:val="none" w:sz="0" w:space="0" w:color="auto"/>
        <w:right w:val="none" w:sz="0" w:space="0" w:color="auto"/>
      </w:divBdr>
    </w:div>
    <w:div w:id="2014916865">
      <w:bodyDiv w:val="1"/>
      <w:marLeft w:val="0"/>
      <w:marRight w:val="0"/>
      <w:marTop w:val="0"/>
      <w:marBottom w:val="0"/>
      <w:divBdr>
        <w:top w:val="none" w:sz="0" w:space="0" w:color="auto"/>
        <w:left w:val="none" w:sz="0" w:space="0" w:color="auto"/>
        <w:bottom w:val="none" w:sz="0" w:space="0" w:color="auto"/>
        <w:right w:val="none" w:sz="0" w:space="0" w:color="auto"/>
      </w:divBdr>
      <w:divsChild>
        <w:div w:id="230193100">
          <w:marLeft w:val="461"/>
          <w:marRight w:val="0"/>
          <w:marTop w:val="120"/>
          <w:marBottom w:val="0"/>
          <w:divBdr>
            <w:top w:val="none" w:sz="0" w:space="0" w:color="auto"/>
            <w:left w:val="none" w:sz="0" w:space="0" w:color="auto"/>
            <w:bottom w:val="none" w:sz="0" w:space="0" w:color="auto"/>
            <w:right w:val="none" w:sz="0" w:space="0" w:color="auto"/>
          </w:divBdr>
        </w:div>
      </w:divsChild>
    </w:div>
    <w:div w:id="2079286408">
      <w:bodyDiv w:val="1"/>
      <w:marLeft w:val="0"/>
      <w:marRight w:val="0"/>
      <w:marTop w:val="0"/>
      <w:marBottom w:val="0"/>
      <w:divBdr>
        <w:top w:val="none" w:sz="0" w:space="0" w:color="auto"/>
        <w:left w:val="none" w:sz="0" w:space="0" w:color="auto"/>
        <w:bottom w:val="none" w:sz="0" w:space="0" w:color="auto"/>
        <w:right w:val="none" w:sz="0" w:space="0" w:color="auto"/>
      </w:divBdr>
      <w:divsChild>
        <w:div w:id="892546661">
          <w:marLeft w:val="0"/>
          <w:marRight w:val="0"/>
          <w:marTop w:val="0"/>
          <w:marBottom w:val="0"/>
          <w:divBdr>
            <w:top w:val="none" w:sz="0" w:space="0" w:color="auto"/>
            <w:left w:val="none" w:sz="0" w:space="0" w:color="auto"/>
            <w:bottom w:val="none" w:sz="0" w:space="0" w:color="auto"/>
            <w:right w:val="none" w:sz="0" w:space="0" w:color="auto"/>
          </w:divBdr>
          <w:divsChild>
            <w:div w:id="1671299941">
              <w:marLeft w:val="0"/>
              <w:marRight w:val="0"/>
              <w:marTop w:val="0"/>
              <w:marBottom w:val="0"/>
              <w:divBdr>
                <w:top w:val="none" w:sz="0" w:space="0" w:color="auto"/>
                <w:left w:val="none" w:sz="0" w:space="0" w:color="auto"/>
                <w:bottom w:val="none" w:sz="0" w:space="0" w:color="auto"/>
                <w:right w:val="none" w:sz="0" w:space="0" w:color="auto"/>
              </w:divBdr>
              <w:divsChild>
                <w:div w:id="93594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17954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20.png"/><Relationship Id="rId47" Type="http://schemas.openxmlformats.org/officeDocument/2006/relationships/footer" Target="footer15.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footer" Target="footer6.xml"/><Relationship Id="rId21" Type="http://schemas.openxmlformats.org/officeDocument/2006/relationships/footer" Target="footer7.xml"/><Relationship Id="rId22" Type="http://schemas.openxmlformats.org/officeDocument/2006/relationships/image" Target="media/image4.png"/><Relationship Id="rId23" Type="http://schemas.openxmlformats.org/officeDocument/2006/relationships/image" Target="media/image5.emf"/><Relationship Id="rId24" Type="http://schemas.openxmlformats.org/officeDocument/2006/relationships/image" Target="media/image6.png"/><Relationship Id="rId25" Type="http://schemas.openxmlformats.org/officeDocument/2006/relationships/image" Target="media/image7.png"/><Relationship Id="rId26" Type="http://schemas.openxmlformats.org/officeDocument/2006/relationships/image" Target="media/image8.png"/><Relationship Id="rId27" Type="http://schemas.openxmlformats.org/officeDocument/2006/relationships/image" Target="media/image9.emf"/><Relationship Id="rId28" Type="http://schemas.openxmlformats.org/officeDocument/2006/relationships/image" Target="media/image10.png"/><Relationship Id="rId2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2.jpg"/><Relationship Id="rId31" Type="http://schemas.openxmlformats.org/officeDocument/2006/relationships/footer" Target="footer8.xml"/><Relationship Id="rId32" Type="http://schemas.openxmlformats.org/officeDocument/2006/relationships/image" Target="media/image13.pn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9.xml"/><Relationship Id="rId34" Type="http://schemas.openxmlformats.org/officeDocument/2006/relationships/footer" Target="footer10.xml"/><Relationship Id="rId35" Type="http://schemas.openxmlformats.org/officeDocument/2006/relationships/footer" Target="footer11.xml"/><Relationship Id="rId36" Type="http://schemas.openxmlformats.org/officeDocument/2006/relationships/footer" Target="footer12.xml"/><Relationship Id="rId10" Type="http://schemas.openxmlformats.org/officeDocument/2006/relationships/image" Target="media/image2.jpeg"/><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footer" Target="footer4.xml"/><Relationship Id="rId15" Type="http://schemas.openxmlformats.org/officeDocument/2006/relationships/footer" Target="footer5.xml"/><Relationship Id="rId16" Type="http://schemas.openxmlformats.org/officeDocument/2006/relationships/chart" Target="charts/chart1.xml"/><Relationship Id="rId17" Type="http://schemas.openxmlformats.org/officeDocument/2006/relationships/image" Target="media/image3.jpeg"/><Relationship Id="rId18" Type="http://schemas.openxmlformats.org/officeDocument/2006/relationships/chart" Target="charts/chart2.xml"/><Relationship Id="rId19" Type="http://schemas.openxmlformats.org/officeDocument/2006/relationships/chart" Target="charts/chart3.xml"/><Relationship Id="rId37" Type="http://schemas.openxmlformats.org/officeDocument/2006/relationships/image" Target="media/image14.jpg"/><Relationship Id="rId38" Type="http://schemas.openxmlformats.org/officeDocument/2006/relationships/image" Target="media/image15.emf"/><Relationship Id="rId39" Type="http://schemas.openxmlformats.org/officeDocument/2006/relationships/footer" Target="footer13.xml"/><Relationship Id="rId40" Type="http://schemas.openxmlformats.org/officeDocument/2006/relationships/image" Target="media/image16.emf"/><Relationship Id="rId41" Type="http://schemas.openxmlformats.org/officeDocument/2006/relationships/package" Target="embeddings/Microsoft_Excel_Macro-Enabled_Worksheet2.xlsm"/><Relationship Id="rId42" Type="http://schemas.openxmlformats.org/officeDocument/2006/relationships/footer" Target="footer14.xml"/><Relationship Id="rId43" Type="http://schemas.openxmlformats.org/officeDocument/2006/relationships/image" Target="media/image17.emf"/><Relationship Id="rId44" Type="http://schemas.openxmlformats.org/officeDocument/2006/relationships/image" Target="media/image18.emf"/><Relationship Id="rId45" Type="http://schemas.openxmlformats.org/officeDocument/2006/relationships/image" Target="media/image19.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Lauren\Documents\My%20Dropbox\Bren\0%20-%20Group%20Project%20-%20Long%20Beach\2.%20Data\Agency%20Water%20Usage\SWRCB%20urban%20water%20supplier%20reporting%20-%20December%202015.xlsx" TargetMode="External"/><Relationship Id="rId2"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Microsoft_Excel_Sheet1.xlsx"/><Relationship Id="rId3"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Lauren\Documents\My%20Dropbox\Bren\0%20-%20Group%20Project%20-%20Long%20Beach\2.%20Data\LBWD%20Customer%20Data\LBWD%20Projected%20Demand%20from%201995%20UWMP%20(Matt).xlsx" TargetMode="External"/><Relationship Id="rId2"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Total monthly</a:t>
            </a:r>
            <a:r>
              <a:rPr lang="en-US" sz="1200" baseline="0"/>
              <a:t> water usage for Southern California retail agencies, 2013-14</a:t>
            </a:r>
            <a:endParaRPr lang="en-US" sz="1200"/>
          </a:p>
        </c:rich>
      </c:tx>
      <c:layout>
        <c:manualLayout>
          <c:xMode val="edge"/>
          <c:yMode val="edge"/>
          <c:x val="0.155656785548865"/>
          <c:y val="0.0358868184955142"/>
        </c:manualLayout>
      </c:layout>
      <c:overlay val="0"/>
      <c:spPr>
        <a:noFill/>
        <a:ln>
          <a:noFill/>
        </a:ln>
        <a:effectLst/>
      </c:spPr>
    </c:title>
    <c:autoTitleDeleted val="0"/>
    <c:plotArea>
      <c:layout>
        <c:manualLayout>
          <c:layoutTarget val="inner"/>
          <c:xMode val="edge"/>
          <c:yMode val="edge"/>
          <c:x val="0.179473734261478"/>
          <c:y val="0.147423677303495"/>
          <c:w val="0.75568716953859"/>
          <c:h val="0.633176586009456"/>
        </c:manualLayout>
      </c:layout>
      <c:lineChart>
        <c:grouping val="standard"/>
        <c:varyColors val="0"/>
        <c:ser>
          <c:idx val="0"/>
          <c:order val="0"/>
          <c:tx>
            <c:strRef>
              <c:f>'Intro graph'!$B$2</c:f>
              <c:strCache>
                <c:ptCount val="1"/>
                <c:pt idx="0">
                  <c:v>2014</c:v>
                </c:pt>
              </c:strCache>
            </c:strRef>
          </c:tx>
          <c:spPr>
            <a:ln w="28575" cap="rnd">
              <a:solidFill>
                <a:schemeClr val="accent1">
                  <a:lumMod val="75000"/>
                </a:schemeClr>
              </a:solidFill>
              <a:round/>
            </a:ln>
            <a:effectLst/>
          </c:spPr>
          <c:marker>
            <c:symbol val="circle"/>
            <c:size val="5"/>
            <c:spPr>
              <a:solidFill>
                <a:schemeClr val="accent1"/>
              </a:solidFill>
              <a:ln w="9525">
                <a:solidFill>
                  <a:schemeClr val="accent1">
                    <a:lumMod val="75000"/>
                  </a:schemeClr>
                </a:solidFill>
              </a:ln>
              <a:effectLst/>
            </c:spPr>
          </c:marker>
          <c:cat>
            <c:strRef>
              <c:f>'Intro graph'!$A$3:$A$10</c:f>
              <c:strCache>
                <c:ptCount val="8"/>
                <c:pt idx="0">
                  <c:v>June</c:v>
                </c:pt>
                <c:pt idx="1">
                  <c:v>July</c:v>
                </c:pt>
                <c:pt idx="2">
                  <c:v>August</c:v>
                </c:pt>
                <c:pt idx="3">
                  <c:v>September</c:v>
                </c:pt>
                <c:pt idx="4">
                  <c:v>October</c:v>
                </c:pt>
                <c:pt idx="5">
                  <c:v>November</c:v>
                </c:pt>
                <c:pt idx="6">
                  <c:v>December</c:v>
                </c:pt>
                <c:pt idx="7">
                  <c:v>January</c:v>
                </c:pt>
              </c:strCache>
            </c:strRef>
          </c:cat>
          <c:val>
            <c:numRef>
              <c:f>'Intro graph'!$B$3:$B$10</c:f>
              <c:numCache>
                <c:formatCode>_(* #,##0_);_(* \(#,##0\);_(* "-"??_);_(@_)</c:formatCode>
                <c:ptCount val="8"/>
                <c:pt idx="0">
                  <c:v>317004.2407416402</c:v>
                </c:pt>
                <c:pt idx="1">
                  <c:v>335778.0810849376</c:v>
                </c:pt>
                <c:pt idx="2">
                  <c:v>313821.7023863985</c:v>
                </c:pt>
                <c:pt idx="3">
                  <c:v>305217.2544669689</c:v>
                </c:pt>
                <c:pt idx="4">
                  <c:v>285933.6331284512</c:v>
                </c:pt>
                <c:pt idx="5">
                  <c:v>233513.6497409541</c:v>
                </c:pt>
                <c:pt idx="6">
                  <c:v>170176.784462984</c:v>
                </c:pt>
                <c:pt idx="7">
                  <c:v>201182.598049931</c:v>
                </c:pt>
              </c:numCache>
            </c:numRef>
          </c:val>
          <c:smooth val="0"/>
        </c:ser>
        <c:ser>
          <c:idx val="1"/>
          <c:order val="1"/>
          <c:tx>
            <c:strRef>
              <c:f>'Intro graph'!$C$2</c:f>
              <c:strCache>
                <c:ptCount val="1"/>
                <c:pt idx="0">
                  <c:v>2013</c:v>
                </c:pt>
              </c:strCache>
            </c:strRef>
          </c:tx>
          <c:spPr>
            <a:ln w="28575" cap="rnd">
              <a:solidFill>
                <a:schemeClr val="accent2">
                  <a:lumMod val="75000"/>
                </a:schemeClr>
              </a:solidFill>
              <a:prstDash val="sysDash"/>
              <a:round/>
            </a:ln>
            <a:effectLst/>
          </c:spPr>
          <c:marker>
            <c:symbol val="circle"/>
            <c:size val="5"/>
            <c:spPr>
              <a:solidFill>
                <a:schemeClr val="accent2"/>
              </a:solidFill>
              <a:ln w="9525">
                <a:solidFill>
                  <a:schemeClr val="accent2">
                    <a:lumMod val="75000"/>
                  </a:schemeClr>
                </a:solidFill>
                <a:prstDash val="sysDash"/>
              </a:ln>
              <a:effectLst/>
            </c:spPr>
          </c:marker>
          <c:cat>
            <c:strRef>
              <c:f>'Intro graph'!$A$3:$A$10</c:f>
              <c:strCache>
                <c:ptCount val="8"/>
                <c:pt idx="0">
                  <c:v>June</c:v>
                </c:pt>
                <c:pt idx="1">
                  <c:v>July</c:v>
                </c:pt>
                <c:pt idx="2">
                  <c:v>August</c:v>
                </c:pt>
                <c:pt idx="3">
                  <c:v>September</c:v>
                </c:pt>
                <c:pt idx="4">
                  <c:v>October</c:v>
                </c:pt>
                <c:pt idx="5">
                  <c:v>November</c:v>
                </c:pt>
                <c:pt idx="6">
                  <c:v>December</c:v>
                </c:pt>
                <c:pt idx="7">
                  <c:v>January</c:v>
                </c:pt>
              </c:strCache>
            </c:strRef>
          </c:cat>
          <c:val>
            <c:numRef>
              <c:f>'Intro graph'!$C$3:$C$10</c:f>
              <c:numCache>
                <c:formatCode>_(* #,##0_);_(* \(#,##0\);_(* "-"??_);_(@_)</c:formatCode>
                <c:ptCount val="8"/>
                <c:pt idx="0">
                  <c:v>316230.2483596321</c:v>
                </c:pt>
                <c:pt idx="1">
                  <c:v>341445.2154247941</c:v>
                </c:pt>
                <c:pt idx="2">
                  <c:v>340561.1605716227</c:v>
                </c:pt>
                <c:pt idx="3">
                  <c:v>329472.0467321021</c:v>
                </c:pt>
                <c:pt idx="4">
                  <c:v>291115.6930287682</c:v>
                </c:pt>
                <c:pt idx="5">
                  <c:v>241233.9129740383</c:v>
                </c:pt>
                <c:pt idx="6">
                  <c:v>221040.7992232101</c:v>
                </c:pt>
                <c:pt idx="7">
                  <c:v>221446.9366478607</c:v>
                </c:pt>
              </c:numCache>
            </c:numRef>
          </c:val>
          <c:smooth val="0"/>
        </c:ser>
        <c:dLbls>
          <c:showLegendKey val="0"/>
          <c:showVal val="0"/>
          <c:showCatName val="0"/>
          <c:showSerName val="0"/>
          <c:showPercent val="0"/>
          <c:showBubbleSize val="0"/>
        </c:dLbls>
        <c:marker val="1"/>
        <c:smooth val="0"/>
        <c:axId val="2073388792"/>
        <c:axId val="2074156680"/>
      </c:lineChart>
      <c:catAx>
        <c:axId val="2073388792"/>
        <c:scaling>
          <c:orientation val="minMax"/>
        </c:scaling>
        <c:delete val="0"/>
        <c:axPos val="b"/>
        <c:numFmt formatCode="General" sourceLinked="1"/>
        <c:majorTickMark val="in"/>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2074156680"/>
        <c:crosses val="autoZero"/>
        <c:auto val="1"/>
        <c:lblAlgn val="ctr"/>
        <c:lblOffset val="100"/>
        <c:noMultiLvlLbl val="0"/>
      </c:catAx>
      <c:valAx>
        <c:axId val="2074156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a:t>Acre-Feet</a:t>
                </a:r>
              </a:p>
            </c:rich>
          </c:tx>
          <c:layout>
            <c:manualLayout>
              <c:xMode val="edge"/>
              <c:yMode val="edge"/>
              <c:x val="0.0162394918026551"/>
              <c:y val="0.323596110636546"/>
            </c:manualLayout>
          </c:layout>
          <c:overlay val="0"/>
          <c:spPr>
            <a:noFill/>
            <a:ln>
              <a:noFill/>
            </a:ln>
            <a:effectLst/>
          </c:sp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2073388792"/>
        <c:crosses val="autoZero"/>
        <c:crossBetween val="between"/>
        <c:majorUnit val="100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Preferential Rights by Agency, 2002-2013</a:t>
            </a:r>
          </a:p>
        </c:rich>
      </c:tx>
      <c:layout/>
      <c:overlay val="0"/>
      <c:spPr>
        <a:noFill/>
        <a:ln>
          <a:noFill/>
        </a:ln>
        <a:effectLst/>
      </c:spPr>
    </c:title>
    <c:autoTitleDeleted val="0"/>
    <c:plotArea>
      <c:layout/>
      <c:lineChart>
        <c:grouping val="standard"/>
        <c:varyColors val="0"/>
        <c:ser>
          <c:idx val="0"/>
          <c:order val="0"/>
          <c:tx>
            <c:strRef>
              <c:f>'PR Table'!$A$2</c:f>
              <c:strCache>
                <c:ptCount val="1"/>
                <c:pt idx="0">
                  <c:v>Los Angeles</c:v>
                </c:pt>
              </c:strCache>
            </c:strRef>
          </c:tx>
          <c:spPr>
            <a:ln w="28575" cap="rnd">
              <a:solidFill>
                <a:schemeClr val="accent1"/>
              </a:solidFill>
              <a:round/>
            </a:ln>
            <a:effectLst/>
          </c:spPr>
          <c:marker>
            <c:symbol val="none"/>
          </c:marker>
          <c:cat>
            <c:numRef>
              <c:f>'PR Table'!$B$1:$M$1</c:f>
              <c:numCache>
                <c:formatCode>m/d/yyyy</c:formatCode>
                <c:ptCount val="12"/>
                <c:pt idx="0">
                  <c:v>37437.0</c:v>
                </c:pt>
                <c:pt idx="1">
                  <c:v>37802.0</c:v>
                </c:pt>
                <c:pt idx="2">
                  <c:v>38168.0</c:v>
                </c:pt>
                <c:pt idx="3">
                  <c:v>38533.0</c:v>
                </c:pt>
                <c:pt idx="4">
                  <c:v>38898.0</c:v>
                </c:pt>
                <c:pt idx="5">
                  <c:v>39263.0</c:v>
                </c:pt>
                <c:pt idx="6">
                  <c:v>39629.0</c:v>
                </c:pt>
                <c:pt idx="7">
                  <c:v>39994.0</c:v>
                </c:pt>
                <c:pt idx="8">
                  <c:v>40359.0</c:v>
                </c:pt>
                <c:pt idx="9">
                  <c:v>40724.0</c:v>
                </c:pt>
                <c:pt idx="10">
                  <c:v>41090.0</c:v>
                </c:pt>
                <c:pt idx="11">
                  <c:v>41455.0</c:v>
                </c:pt>
              </c:numCache>
            </c:numRef>
          </c:cat>
          <c:val>
            <c:numRef>
              <c:f>'PR Table'!$B$2:$M$2</c:f>
              <c:numCache>
                <c:formatCode>0.00%</c:formatCode>
                <c:ptCount val="12"/>
                <c:pt idx="0">
                  <c:v>0.2206</c:v>
                </c:pt>
                <c:pt idx="1">
                  <c:v>0.2184</c:v>
                </c:pt>
                <c:pt idx="2">
                  <c:v>0.2159</c:v>
                </c:pt>
                <c:pt idx="3">
                  <c:v>0.2138</c:v>
                </c:pt>
                <c:pt idx="4">
                  <c:v>0.2116</c:v>
                </c:pt>
                <c:pt idx="5">
                  <c:v>0.2097</c:v>
                </c:pt>
                <c:pt idx="6">
                  <c:v>0.2078</c:v>
                </c:pt>
                <c:pt idx="7">
                  <c:v>0.2065</c:v>
                </c:pt>
                <c:pt idx="8">
                  <c:v>0.2051</c:v>
                </c:pt>
                <c:pt idx="9">
                  <c:v>0.2041</c:v>
                </c:pt>
                <c:pt idx="10">
                  <c:v>0.2032</c:v>
                </c:pt>
                <c:pt idx="11">
                  <c:v>0.2022</c:v>
                </c:pt>
              </c:numCache>
            </c:numRef>
          </c:val>
          <c:smooth val="0"/>
        </c:ser>
        <c:ser>
          <c:idx val="1"/>
          <c:order val="1"/>
          <c:tx>
            <c:strRef>
              <c:f>'PR Table'!$A$3</c:f>
              <c:strCache>
                <c:ptCount val="1"/>
                <c:pt idx="0">
                  <c:v>San Diego CWA</c:v>
                </c:pt>
              </c:strCache>
            </c:strRef>
          </c:tx>
          <c:spPr>
            <a:ln w="28575" cap="rnd">
              <a:solidFill>
                <a:schemeClr val="accent2"/>
              </a:solidFill>
              <a:round/>
            </a:ln>
            <a:effectLst/>
          </c:spPr>
          <c:marker>
            <c:symbol val="none"/>
          </c:marker>
          <c:cat>
            <c:numRef>
              <c:f>'PR Table'!$B$1:$M$1</c:f>
              <c:numCache>
                <c:formatCode>m/d/yyyy</c:formatCode>
                <c:ptCount val="12"/>
                <c:pt idx="0">
                  <c:v>37437.0</c:v>
                </c:pt>
                <c:pt idx="1">
                  <c:v>37802.0</c:v>
                </c:pt>
                <c:pt idx="2">
                  <c:v>38168.0</c:v>
                </c:pt>
                <c:pt idx="3">
                  <c:v>38533.0</c:v>
                </c:pt>
                <c:pt idx="4">
                  <c:v>38898.0</c:v>
                </c:pt>
                <c:pt idx="5">
                  <c:v>39263.0</c:v>
                </c:pt>
                <c:pt idx="6">
                  <c:v>39629.0</c:v>
                </c:pt>
                <c:pt idx="7">
                  <c:v>39994.0</c:v>
                </c:pt>
                <c:pt idx="8">
                  <c:v>40359.0</c:v>
                </c:pt>
                <c:pt idx="9">
                  <c:v>40724.0</c:v>
                </c:pt>
                <c:pt idx="10">
                  <c:v>41090.0</c:v>
                </c:pt>
                <c:pt idx="11">
                  <c:v>41455.0</c:v>
                </c:pt>
              </c:numCache>
            </c:numRef>
          </c:cat>
          <c:val>
            <c:numRef>
              <c:f>'PR Table'!$B$3:$M$3</c:f>
              <c:numCache>
                <c:formatCode>0.00%</c:formatCode>
                <c:ptCount val="12"/>
                <c:pt idx="0">
                  <c:v>0.1529</c:v>
                </c:pt>
                <c:pt idx="1">
                  <c:v>0.1557</c:v>
                </c:pt>
                <c:pt idx="2">
                  <c:v>0.1585</c:v>
                </c:pt>
                <c:pt idx="3">
                  <c:v>0.1616</c:v>
                </c:pt>
                <c:pt idx="4">
                  <c:v>0.1646</c:v>
                </c:pt>
                <c:pt idx="5">
                  <c:v>0.1673</c:v>
                </c:pt>
                <c:pt idx="6">
                  <c:v>0.1698</c:v>
                </c:pt>
                <c:pt idx="7">
                  <c:v>0.1722</c:v>
                </c:pt>
                <c:pt idx="8">
                  <c:v>0.1747</c:v>
                </c:pt>
                <c:pt idx="9">
                  <c:v>0.1771</c:v>
                </c:pt>
                <c:pt idx="10">
                  <c:v>0.1792</c:v>
                </c:pt>
                <c:pt idx="11">
                  <c:v>0.1811</c:v>
                </c:pt>
              </c:numCache>
            </c:numRef>
          </c:val>
          <c:smooth val="0"/>
        </c:ser>
        <c:ser>
          <c:idx val="2"/>
          <c:order val="2"/>
          <c:tx>
            <c:strRef>
              <c:f>'PR Table'!$A$4</c:f>
              <c:strCache>
                <c:ptCount val="1"/>
                <c:pt idx="0">
                  <c:v>MWDOC</c:v>
                </c:pt>
              </c:strCache>
            </c:strRef>
          </c:tx>
          <c:spPr>
            <a:ln w="28575" cap="rnd">
              <a:solidFill>
                <a:sysClr val="windowText" lastClr="000000">
                  <a:lumMod val="75000"/>
                  <a:lumOff val="25000"/>
                </a:sysClr>
              </a:solidFill>
              <a:round/>
            </a:ln>
            <a:effectLst/>
          </c:spPr>
          <c:marker>
            <c:symbol val="none"/>
          </c:marker>
          <c:cat>
            <c:numRef>
              <c:f>'PR Table'!$B$1:$M$1</c:f>
              <c:numCache>
                <c:formatCode>m/d/yyyy</c:formatCode>
                <c:ptCount val="12"/>
                <c:pt idx="0">
                  <c:v>37437.0</c:v>
                </c:pt>
                <c:pt idx="1">
                  <c:v>37802.0</c:v>
                </c:pt>
                <c:pt idx="2">
                  <c:v>38168.0</c:v>
                </c:pt>
                <c:pt idx="3">
                  <c:v>38533.0</c:v>
                </c:pt>
                <c:pt idx="4">
                  <c:v>38898.0</c:v>
                </c:pt>
                <c:pt idx="5">
                  <c:v>39263.0</c:v>
                </c:pt>
                <c:pt idx="6">
                  <c:v>39629.0</c:v>
                </c:pt>
                <c:pt idx="7">
                  <c:v>39994.0</c:v>
                </c:pt>
                <c:pt idx="8">
                  <c:v>40359.0</c:v>
                </c:pt>
                <c:pt idx="9">
                  <c:v>40724.0</c:v>
                </c:pt>
                <c:pt idx="10">
                  <c:v>41090.0</c:v>
                </c:pt>
                <c:pt idx="11">
                  <c:v>41455.0</c:v>
                </c:pt>
              </c:numCache>
            </c:numRef>
          </c:cat>
          <c:val>
            <c:numRef>
              <c:f>'PR Table'!$B$4:$M$4</c:f>
              <c:numCache>
                <c:formatCode>0.00%</c:formatCode>
                <c:ptCount val="12"/>
                <c:pt idx="0">
                  <c:v>0.1393</c:v>
                </c:pt>
                <c:pt idx="1">
                  <c:v>0.1393</c:v>
                </c:pt>
                <c:pt idx="2">
                  <c:v>0.1395</c:v>
                </c:pt>
                <c:pt idx="3">
                  <c:v>0.1396</c:v>
                </c:pt>
                <c:pt idx="4">
                  <c:v>0.14</c:v>
                </c:pt>
                <c:pt idx="5">
                  <c:v>0.1399</c:v>
                </c:pt>
                <c:pt idx="6">
                  <c:v>0.14</c:v>
                </c:pt>
                <c:pt idx="7">
                  <c:v>0.1396</c:v>
                </c:pt>
                <c:pt idx="8">
                  <c:v>0.1392</c:v>
                </c:pt>
                <c:pt idx="9">
                  <c:v>0.1387</c:v>
                </c:pt>
                <c:pt idx="10">
                  <c:v>0.138</c:v>
                </c:pt>
                <c:pt idx="11">
                  <c:v>0.1378</c:v>
                </c:pt>
              </c:numCache>
            </c:numRef>
          </c:val>
          <c:smooth val="0"/>
        </c:ser>
        <c:ser>
          <c:idx val="3"/>
          <c:order val="3"/>
          <c:tx>
            <c:strRef>
              <c:f>'PR Table'!$A$5</c:f>
              <c:strCache>
                <c:ptCount val="1"/>
                <c:pt idx="0">
                  <c:v>West Basin</c:v>
                </c:pt>
              </c:strCache>
            </c:strRef>
          </c:tx>
          <c:spPr>
            <a:ln w="28575" cap="rnd">
              <a:solidFill>
                <a:srgbClr val="B22600"/>
              </a:solidFill>
              <a:round/>
            </a:ln>
            <a:effectLst/>
          </c:spPr>
          <c:marker>
            <c:symbol val="none"/>
          </c:marker>
          <c:cat>
            <c:numRef>
              <c:f>'PR Table'!$B$1:$M$1</c:f>
              <c:numCache>
                <c:formatCode>m/d/yyyy</c:formatCode>
                <c:ptCount val="12"/>
                <c:pt idx="0">
                  <c:v>37437.0</c:v>
                </c:pt>
                <c:pt idx="1">
                  <c:v>37802.0</c:v>
                </c:pt>
                <c:pt idx="2">
                  <c:v>38168.0</c:v>
                </c:pt>
                <c:pt idx="3">
                  <c:v>38533.0</c:v>
                </c:pt>
                <c:pt idx="4">
                  <c:v>38898.0</c:v>
                </c:pt>
                <c:pt idx="5">
                  <c:v>39263.0</c:v>
                </c:pt>
                <c:pt idx="6">
                  <c:v>39629.0</c:v>
                </c:pt>
                <c:pt idx="7">
                  <c:v>39994.0</c:v>
                </c:pt>
                <c:pt idx="8">
                  <c:v>40359.0</c:v>
                </c:pt>
                <c:pt idx="9">
                  <c:v>40724.0</c:v>
                </c:pt>
                <c:pt idx="10">
                  <c:v>41090.0</c:v>
                </c:pt>
                <c:pt idx="11">
                  <c:v>41455.0</c:v>
                </c:pt>
              </c:numCache>
            </c:numRef>
          </c:cat>
          <c:val>
            <c:numRef>
              <c:f>'PR Table'!$B$5:$M$5</c:f>
              <c:numCache>
                <c:formatCode>0.00%</c:formatCode>
                <c:ptCount val="12"/>
                <c:pt idx="0">
                  <c:v>0.0822</c:v>
                </c:pt>
                <c:pt idx="1">
                  <c:v>0.0824</c:v>
                </c:pt>
                <c:pt idx="2">
                  <c:v>0.0824</c:v>
                </c:pt>
                <c:pt idx="3">
                  <c:v>0.0822</c:v>
                </c:pt>
                <c:pt idx="4">
                  <c:v>0.0819</c:v>
                </c:pt>
                <c:pt idx="5">
                  <c:v>0.0816</c:v>
                </c:pt>
                <c:pt idx="6">
                  <c:v>0.0812</c:v>
                </c:pt>
                <c:pt idx="7">
                  <c:v>0.0809</c:v>
                </c:pt>
                <c:pt idx="8">
                  <c:v>0.0805</c:v>
                </c:pt>
                <c:pt idx="9">
                  <c:v>0.0802</c:v>
                </c:pt>
                <c:pt idx="10">
                  <c:v>0.0798</c:v>
                </c:pt>
                <c:pt idx="11">
                  <c:v>0.0795</c:v>
                </c:pt>
              </c:numCache>
            </c:numRef>
          </c:val>
          <c:smooth val="0"/>
        </c:ser>
        <c:ser>
          <c:idx val="4"/>
          <c:order val="4"/>
          <c:tx>
            <c:strRef>
              <c:f>'PR Table'!$A$6</c:f>
              <c:strCache>
                <c:ptCount val="1"/>
                <c:pt idx="0">
                  <c:v>Central Basin</c:v>
                </c:pt>
              </c:strCache>
            </c:strRef>
          </c:tx>
          <c:spPr>
            <a:ln w="28575" cap="rnd">
              <a:solidFill>
                <a:schemeClr val="accent5"/>
              </a:solidFill>
              <a:round/>
            </a:ln>
            <a:effectLst/>
          </c:spPr>
          <c:marker>
            <c:symbol val="none"/>
          </c:marker>
          <c:cat>
            <c:numRef>
              <c:f>'PR Table'!$B$1:$M$1</c:f>
              <c:numCache>
                <c:formatCode>m/d/yyyy</c:formatCode>
                <c:ptCount val="12"/>
                <c:pt idx="0">
                  <c:v>37437.0</c:v>
                </c:pt>
                <c:pt idx="1">
                  <c:v>37802.0</c:v>
                </c:pt>
                <c:pt idx="2">
                  <c:v>38168.0</c:v>
                </c:pt>
                <c:pt idx="3">
                  <c:v>38533.0</c:v>
                </c:pt>
                <c:pt idx="4">
                  <c:v>38898.0</c:v>
                </c:pt>
                <c:pt idx="5">
                  <c:v>39263.0</c:v>
                </c:pt>
                <c:pt idx="6">
                  <c:v>39629.0</c:v>
                </c:pt>
                <c:pt idx="7">
                  <c:v>39994.0</c:v>
                </c:pt>
                <c:pt idx="8">
                  <c:v>40359.0</c:v>
                </c:pt>
                <c:pt idx="9">
                  <c:v>40724.0</c:v>
                </c:pt>
                <c:pt idx="10">
                  <c:v>41090.0</c:v>
                </c:pt>
                <c:pt idx="11">
                  <c:v>41455.0</c:v>
                </c:pt>
              </c:numCache>
            </c:numRef>
          </c:cat>
          <c:val>
            <c:numRef>
              <c:f>'PR Table'!$B$6:$M$6</c:f>
              <c:numCache>
                <c:formatCode>0.00%</c:formatCode>
                <c:ptCount val="12"/>
                <c:pt idx="0">
                  <c:v>0.0825</c:v>
                </c:pt>
                <c:pt idx="1">
                  <c:v>0.081</c:v>
                </c:pt>
                <c:pt idx="2">
                  <c:v>0.0794</c:v>
                </c:pt>
                <c:pt idx="3">
                  <c:v>0.0778</c:v>
                </c:pt>
                <c:pt idx="4">
                  <c:v>0.0762</c:v>
                </c:pt>
                <c:pt idx="5">
                  <c:v>0.0748</c:v>
                </c:pt>
                <c:pt idx="6">
                  <c:v>0.0734</c:v>
                </c:pt>
                <c:pt idx="7">
                  <c:v>0.0721</c:v>
                </c:pt>
                <c:pt idx="8">
                  <c:v>0.0707</c:v>
                </c:pt>
                <c:pt idx="9">
                  <c:v>0.0694</c:v>
                </c:pt>
                <c:pt idx="10">
                  <c:v>0.0683</c:v>
                </c:pt>
                <c:pt idx="11">
                  <c:v>0.0671</c:v>
                </c:pt>
              </c:numCache>
            </c:numRef>
          </c:val>
          <c:smooth val="0"/>
        </c:ser>
        <c:ser>
          <c:idx val="5"/>
          <c:order val="5"/>
          <c:tx>
            <c:strRef>
              <c:f>'PR Table'!$A$7</c:f>
              <c:strCache>
                <c:ptCount val="1"/>
                <c:pt idx="0">
                  <c:v>Calleguas</c:v>
                </c:pt>
              </c:strCache>
            </c:strRef>
          </c:tx>
          <c:spPr>
            <a:ln w="28575" cap="rnd">
              <a:solidFill>
                <a:schemeClr val="accent6"/>
              </a:solidFill>
              <a:round/>
            </a:ln>
            <a:effectLst/>
          </c:spPr>
          <c:marker>
            <c:symbol val="none"/>
          </c:marker>
          <c:cat>
            <c:numRef>
              <c:f>'PR Table'!$B$1:$M$1</c:f>
              <c:numCache>
                <c:formatCode>m/d/yyyy</c:formatCode>
                <c:ptCount val="12"/>
                <c:pt idx="0">
                  <c:v>37437.0</c:v>
                </c:pt>
                <c:pt idx="1">
                  <c:v>37802.0</c:v>
                </c:pt>
                <c:pt idx="2">
                  <c:v>38168.0</c:v>
                </c:pt>
                <c:pt idx="3">
                  <c:v>38533.0</c:v>
                </c:pt>
                <c:pt idx="4">
                  <c:v>38898.0</c:v>
                </c:pt>
                <c:pt idx="5">
                  <c:v>39263.0</c:v>
                </c:pt>
                <c:pt idx="6">
                  <c:v>39629.0</c:v>
                </c:pt>
                <c:pt idx="7">
                  <c:v>39994.0</c:v>
                </c:pt>
                <c:pt idx="8">
                  <c:v>40359.0</c:v>
                </c:pt>
                <c:pt idx="9">
                  <c:v>40724.0</c:v>
                </c:pt>
                <c:pt idx="10">
                  <c:v>41090.0</c:v>
                </c:pt>
                <c:pt idx="11">
                  <c:v>41455.0</c:v>
                </c:pt>
              </c:numCache>
            </c:numRef>
          </c:cat>
          <c:val>
            <c:numRef>
              <c:f>'PR Table'!$B$7:$M$7</c:f>
              <c:numCache>
                <c:formatCode>0.00%</c:formatCode>
                <c:ptCount val="12"/>
                <c:pt idx="0">
                  <c:v>0.035</c:v>
                </c:pt>
                <c:pt idx="1">
                  <c:v>0.0359</c:v>
                </c:pt>
                <c:pt idx="2">
                  <c:v>0.0368</c:v>
                </c:pt>
                <c:pt idx="3">
                  <c:v>0.0375</c:v>
                </c:pt>
                <c:pt idx="4">
                  <c:v>0.038</c:v>
                </c:pt>
                <c:pt idx="5">
                  <c:v>0.0385</c:v>
                </c:pt>
                <c:pt idx="6">
                  <c:v>0.0393</c:v>
                </c:pt>
                <c:pt idx="7">
                  <c:v>0.0398</c:v>
                </c:pt>
                <c:pt idx="8">
                  <c:v>0.0403</c:v>
                </c:pt>
                <c:pt idx="9">
                  <c:v>0.0407</c:v>
                </c:pt>
                <c:pt idx="10">
                  <c:v>0.0411</c:v>
                </c:pt>
                <c:pt idx="11">
                  <c:v>0.0414</c:v>
                </c:pt>
              </c:numCache>
            </c:numRef>
          </c:val>
          <c:smooth val="0"/>
        </c:ser>
        <c:ser>
          <c:idx val="6"/>
          <c:order val="6"/>
          <c:tx>
            <c:strRef>
              <c:f>'PR Table'!$A$8</c:f>
              <c:strCache>
                <c:ptCount val="1"/>
                <c:pt idx="0">
                  <c:v>Western</c:v>
                </c:pt>
              </c:strCache>
            </c:strRef>
          </c:tx>
          <c:spPr>
            <a:ln w="28575" cap="rnd">
              <a:solidFill>
                <a:schemeClr val="accent1">
                  <a:lumMod val="60000"/>
                </a:schemeClr>
              </a:solidFill>
              <a:round/>
            </a:ln>
            <a:effectLst/>
          </c:spPr>
          <c:marker>
            <c:symbol val="none"/>
          </c:marker>
          <c:cat>
            <c:numRef>
              <c:f>'PR Table'!$B$1:$M$1</c:f>
              <c:numCache>
                <c:formatCode>m/d/yyyy</c:formatCode>
                <c:ptCount val="12"/>
                <c:pt idx="0">
                  <c:v>37437.0</c:v>
                </c:pt>
                <c:pt idx="1">
                  <c:v>37802.0</c:v>
                </c:pt>
                <c:pt idx="2">
                  <c:v>38168.0</c:v>
                </c:pt>
                <c:pt idx="3">
                  <c:v>38533.0</c:v>
                </c:pt>
                <c:pt idx="4">
                  <c:v>38898.0</c:v>
                </c:pt>
                <c:pt idx="5">
                  <c:v>39263.0</c:v>
                </c:pt>
                <c:pt idx="6">
                  <c:v>39629.0</c:v>
                </c:pt>
                <c:pt idx="7">
                  <c:v>39994.0</c:v>
                </c:pt>
                <c:pt idx="8">
                  <c:v>40359.0</c:v>
                </c:pt>
                <c:pt idx="9">
                  <c:v>40724.0</c:v>
                </c:pt>
                <c:pt idx="10">
                  <c:v>41090.0</c:v>
                </c:pt>
                <c:pt idx="11">
                  <c:v>41455.0</c:v>
                </c:pt>
              </c:numCache>
            </c:numRef>
          </c:cat>
          <c:val>
            <c:numRef>
              <c:f>'PR Table'!$B$8:$M$8</c:f>
              <c:numCache>
                <c:formatCode>0.00%</c:formatCode>
                <c:ptCount val="12"/>
                <c:pt idx="0">
                  <c:v>0.0355</c:v>
                </c:pt>
                <c:pt idx="1">
                  <c:v>0.0354</c:v>
                </c:pt>
                <c:pt idx="2">
                  <c:v>0.0357</c:v>
                </c:pt>
                <c:pt idx="3">
                  <c:v>0.0356</c:v>
                </c:pt>
                <c:pt idx="4">
                  <c:v>0.0358</c:v>
                </c:pt>
                <c:pt idx="5">
                  <c:v>0.036</c:v>
                </c:pt>
                <c:pt idx="6">
                  <c:v>0.0362</c:v>
                </c:pt>
                <c:pt idx="7">
                  <c:v>0.0365</c:v>
                </c:pt>
                <c:pt idx="8">
                  <c:v>0.0367</c:v>
                </c:pt>
                <c:pt idx="9">
                  <c:v>0.0369</c:v>
                </c:pt>
                <c:pt idx="10">
                  <c:v>0.0372</c:v>
                </c:pt>
                <c:pt idx="11">
                  <c:v>0.0374</c:v>
                </c:pt>
              </c:numCache>
            </c:numRef>
          </c:val>
          <c:smooth val="0"/>
        </c:ser>
        <c:ser>
          <c:idx val="7"/>
          <c:order val="7"/>
          <c:tx>
            <c:strRef>
              <c:f>'PR Table'!$A$9</c:f>
              <c:strCache>
                <c:ptCount val="1"/>
                <c:pt idx="0">
                  <c:v>Eastern</c:v>
                </c:pt>
              </c:strCache>
            </c:strRef>
          </c:tx>
          <c:spPr>
            <a:ln w="28575" cap="rnd">
              <a:solidFill>
                <a:schemeClr val="accent2">
                  <a:lumMod val="60000"/>
                </a:schemeClr>
              </a:solidFill>
              <a:round/>
            </a:ln>
            <a:effectLst/>
          </c:spPr>
          <c:marker>
            <c:symbol val="none"/>
          </c:marker>
          <c:cat>
            <c:numRef>
              <c:f>'PR Table'!$B$1:$M$1</c:f>
              <c:numCache>
                <c:formatCode>m/d/yyyy</c:formatCode>
                <c:ptCount val="12"/>
                <c:pt idx="0">
                  <c:v>37437.0</c:v>
                </c:pt>
                <c:pt idx="1">
                  <c:v>37802.0</c:v>
                </c:pt>
                <c:pt idx="2">
                  <c:v>38168.0</c:v>
                </c:pt>
                <c:pt idx="3">
                  <c:v>38533.0</c:v>
                </c:pt>
                <c:pt idx="4">
                  <c:v>38898.0</c:v>
                </c:pt>
                <c:pt idx="5">
                  <c:v>39263.0</c:v>
                </c:pt>
                <c:pt idx="6">
                  <c:v>39629.0</c:v>
                </c:pt>
                <c:pt idx="7">
                  <c:v>39994.0</c:v>
                </c:pt>
                <c:pt idx="8">
                  <c:v>40359.0</c:v>
                </c:pt>
                <c:pt idx="9">
                  <c:v>40724.0</c:v>
                </c:pt>
                <c:pt idx="10">
                  <c:v>41090.0</c:v>
                </c:pt>
                <c:pt idx="11">
                  <c:v>41455.0</c:v>
                </c:pt>
              </c:numCache>
            </c:numRef>
          </c:cat>
          <c:val>
            <c:numRef>
              <c:f>'PR Table'!$B$9:$M$9</c:f>
              <c:numCache>
                <c:formatCode>0.00%</c:formatCode>
                <c:ptCount val="12"/>
                <c:pt idx="0">
                  <c:v>0.0291</c:v>
                </c:pt>
                <c:pt idx="1">
                  <c:v>0.0291</c:v>
                </c:pt>
                <c:pt idx="2">
                  <c:v>0.0295</c:v>
                </c:pt>
                <c:pt idx="3">
                  <c:v>0.03</c:v>
                </c:pt>
                <c:pt idx="4">
                  <c:v>0.0305</c:v>
                </c:pt>
                <c:pt idx="5">
                  <c:v>0.0311</c:v>
                </c:pt>
                <c:pt idx="6">
                  <c:v>0.0319</c:v>
                </c:pt>
                <c:pt idx="7">
                  <c:v>0.0325</c:v>
                </c:pt>
                <c:pt idx="8">
                  <c:v>0.0338</c:v>
                </c:pt>
                <c:pt idx="9">
                  <c:v>0.0345</c:v>
                </c:pt>
                <c:pt idx="10">
                  <c:v>0.0354</c:v>
                </c:pt>
                <c:pt idx="11">
                  <c:v>0.0359</c:v>
                </c:pt>
              </c:numCache>
            </c:numRef>
          </c:val>
          <c:smooth val="0"/>
        </c:ser>
        <c:ser>
          <c:idx val="8"/>
          <c:order val="8"/>
          <c:tx>
            <c:strRef>
              <c:f>'PR Table'!$A$10</c:f>
              <c:strCache>
                <c:ptCount val="1"/>
                <c:pt idx="0">
                  <c:v>Upper San Gabriel</c:v>
                </c:pt>
              </c:strCache>
            </c:strRef>
          </c:tx>
          <c:spPr>
            <a:ln w="28575" cap="rnd">
              <a:solidFill>
                <a:schemeClr val="accent3">
                  <a:lumMod val="60000"/>
                </a:schemeClr>
              </a:solidFill>
              <a:round/>
            </a:ln>
            <a:effectLst/>
          </c:spPr>
          <c:marker>
            <c:symbol val="none"/>
          </c:marker>
          <c:cat>
            <c:numRef>
              <c:f>'PR Table'!$B$1:$M$1</c:f>
              <c:numCache>
                <c:formatCode>m/d/yyyy</c:formatCode>
                <c:ptCount val="12"/>
                <c:pt idx="0">
                  <c:v>37437.0</c:v>
                </c:pt>
                <c:pt idx="1">
                  <c:v>37802.0</c:v>
                </c:pt>
                <c:pt idx="2">
                  <c:v>38168.0</c:v>
                </c:pt>
                <c:pt idx="3">
                  <c:v>38533.0</c:v>
                </c:pt>
                <c:pt idx="4">
                  <c:v>38898.0</c:v>
                </c:pt>
                <c:pt idx="5">
                  <c:v>39263.0</c:v>
                </c:pt>
                <c:pt idx="6">
                  <c:v>39629.0</c:v>
                </c:pt>
                <c:pt idx="7">
                  <c:v>39994.0</c:v>
                </c:pt>
                <c:pt idx="8">
                  <c:v>40359.0</c:v>
                </c:pt>
                <c:pt idx="9">
                  <c:v>40724.0</c:v>
                </c:pt>
                <c:pt idx="10">
                  <c:v>41090.0</c:v>
                </c:pt>
                <c:pt idx="11">
                  <c:v>41455.0</c:v>
                </c:pt>
              </c:numCache>
            </c:numRef>
          </c:cat>
          <c:val>
            <c:numRef>
              <c:f>'PR Table'!$B$10:$M$10</c:f>
              <c:numCache>
                <c:formatCode>0.00%</c:formatCode>
                <c:ptCount val="12"/>
                <c:pt idx="0">
                  <c:v>0.0414</c:v>
                </c:pt>
                <c:pt idx="1">
                  <c:v>0.0406</c:v>
                </c:pt>
                <c:pt idx="2">
                  <c:v>0.0397</c:v>
                </c:pt>
                <c:pt idx="3">
                  <c:v>0.0389</c:v>
                </c:pt>
                <c:pt idx="4">
                  <c:v>0.0381</c:v>
                </c:pt>
                <c:pt idx="5">
                  <c:v>0.0374</c:v>
                </c:pt>
                <c:pt idx="6">
                  <c:v>0.0366</c:v>
                </c:pt>
                <c:pt idx="7">
                  <c:v>0.0361</c:v>
                </c:pt>
                <c:pt idx="8">
                  <c:v>0.0354</c:v>
                </c:pt>
                <c:pt idx="9">
                  <c:v>0.0348</c:v>
                </c:pt>
                <c:pt idx="10">
                  <c:v>0.0342</c:v>
                </c:pt>
                <c:pt idx="11">
                  <c:v>0.0337</c:v>
                </c:pt>
              </c:numCache>
            </c:numRef>
          </c:val>
          <c:smooth val="0"/>
        </c:ser>
        <c:ser>
          <c:idx val="9"/>
          <c:order val="9"/>
          <c:tx>
            <c:strRef>
              <c:f>'PR Table'!$A$11</c:f>
              <c:strCache>
                <c:ptCount val="1"/>
                <c:pt idx="0">
                  <c:v>Three Valleys</c:v>
                </c:pt>
              </c:strCache>
            </c:strRef>
          </c:tx>
          <c:spPr>
            <a:ln w="28575" cap="rnd">
              <a:solidFill>
                <a:schemeClr val="accent4">
                  <a:lumMod val="60000"/>
                </a:schemeClr>
              </a:solidFill>
              <a:round/>
            </a:ln>
            <a:effectLst/>
          </c:spPr>
          <c:marker>
            <c:symbol val="none"/>
          </c:marker>
          <c:cat>
            <c:numRef>
              <c:f>'PR Table'!$B$1:$M$1</c:f>
              <c:numCache>
                <c:formatCode>m/d/yyyy</c:formatCode>
                <c:ptCount val="12"/>
                <c:pt idx="0">
                  <c:v>37437.0</c:v>
                </c:pt>
                <c:pt idx="1">
                  <c:v>37802.0</c:v>
                </c:pt>
                <c:pt idx="2">
                  <c:v>38168.0</c:v>
                </c:pt>
                <c:pt idx="3">
                  <c:v>38533.0</c:v>
                </c:pt>
                <c:pt idx="4">
                  <c:v>38898.0</c:v>
                </c:pt>
                <c:pt idx="5">
                  <c:v>39263.0</c:v>
                </c:pt>
                <c:pt idx="6">
                  <c:v>39629.0</c:v>
                </c:pt>
                <c:pt idx="7">
                  <c:v>39994.0</c:v>
                </c:pt>
                <c:pt idx="8">
                  <c:v>40359.0</c:v>
                </c:pt>
                <c:pt idx="9">
                  <c:v>40724.0</c:v>
                </c:pt>
                <c:pt idx="10">
                  <c:v>41090.0</c:v>
                </c:pt>
                <c:pt idx="11">
                  <c:v>41455.0</c:v>
                </c:pt>
              </c:numCache>
            </c:numRef>
          </c:cat>
          <c:val>
            <c:numRef>
              <c:f>'PR Table'!$B$11:$M$11</c:f>
              <c:numCache>
                <c:formatCode>0.00%</c:formatCode>
                <c:ptCount val="12"/>
                <c:pt idx="0">
                  <c:v>0.0244</c:v>
                </c:pt>
                <c:pt idx="1">
                  <c:v>0.0247</c:v>
                </c:pt>
                <c:pt idx="2">
                  <c:v>0.0251</c:v>
                </c:pt>
                <c:pt idx="3">
                  <c:v>0.0255</c:v>
                </c:pt>
                <c:pt idx="4">
                  <c:v>0.0259</c:v>
                </c:pt>
                <c:pt idx="5">
                  <c:v>0.0262</c:v>
                </c:pt>
                <c:pt idx="6">
                  <c:v>0.0265</c:v>
                </c:pt>
                <c:pt idx="7">
                  <c:v>0.0267</c:v>
                </c:pt>
                <c:pt idx="8">
                  <c:v>0.027</c:v>
                </c:pt>
                <c:pt idx="9">
                  <c:v>0.0272</c:v>
                </c:pt>
                <c:pt idx="10">
                  <c:v>0.0275</c:v>
                </c:pt>
                <c:pt idx="11">
                  <c:v>0.0277</c:v>
                </c:pt>
              </c:numCache>
            </c:numRef>
          </c:val>
          <c:smooth val="0"/>
        </c:ser>
        <c:ser>
          <c:idx val="10"/>
          <c:order val="10"/>
          <c:tx>
            <c:strRef>
              <c:f>'PR Table'!$A$12</c:f>
              <c:strCache>
                <c:ptCount val="1"/>
                <c:pt idx="0">
                  <c:v>Inland Empire</c:v>
                </c:pt>
              </c:strCache>
            </c:strRef>
          </c:tx>
          <c:spPr>
            <a:ln w="28575" cap="rnd">
              <a:solidFill>
                <a:schemeClr val="accent5">
                  <a:lumMod val="60000"/>
                </a:schemeClr>
              </a:solidFill>
              <a:round/>
            </a:ln>
            <a:effectLst/>
          </c:spPr>
          <c:marker>
            <c:symbol val="none"/>
          </c:marker>
          <c:cat>
            <c:numRef>
              <c:f>'PR Table'!$B$1:$M$1</c:f>
              <c:numCache>
                <c:formatCode>m/d/yyyy</c:formatCode>
                <c:ptCount val="12"/>
                <c:pt idx="0">
                  <c:v>37437.0</c:v>
                </c:pt>
                <c:pt idx="1">
                  <c:v>37802.0</c:v>
                </c:pt>
                <c:pt idx="2">
                  <c:v>38168.0</c:v>
                </c:pt>
                <c:pt idx="3">
                  <c:v>38533.0</c:v>
                </c:pt>
                <c:pt idx="4">
                  <c:v>38898.0</c:v>
                </c:pt>
                <c:pt idx="5">
                  <c:v>39263.0</c:v>
                </c:pt>
                <c:pt idx="6">
                  <c:v>39629.0</c:v>
                </c:pt>
                <c:pt idx="7">
                  <c:v>39994.0</c:v>
                </c:pt>
                <c:pt idx="8">
                  <c:v>40359.0</c:v>
                </c:pt>
                <c:pt idx="9">
                  <c:v>40724.0</c:v>
                </c:pt>
                <c:pt idx="10">
                  <c:v>41090.0</c:v>
                </c:pt>
                <c:pt idx="11">
                  <c:v>41455.0</c:v>
                </c:pt>
              </c:numCache>
            </c:numRef>
          </c:cat>
          <c:val>
            <c:numRef>
              <c:f>'PR Table'!$B$12:$M$12</c:f>
              <c:numCache>
                <c:formatCode>0.00%</c:formatCode>
                <c:ptCount val="12"/>
                <c:pt idx="0">
                  <c:v>0.0237</c:v>
                </c:pt>
                <c:pt idx="1">
                  <c:v>0.0239</c:v>
                </c:pt>
                <c:pt idx="2">
                  <c:v>0.0241</c:v>
                </c:pt>
                <c:pt idx="3">
                  <c:v>0.0243</c:v>
                </c:pt>
                <c:pt idx="4">
                  <c:v>0.0245</c:v>
                </c:pt>
                <c:pt idx="5">
                  <c:v>0.0247</c:v>
                </c:pt>
                <c:pt idx="6">
                  <c:v>0.0249</c:v>
                </c:pt>
                <c:pt idx="7">
                  <c:v>0.025</c:v>
                </c:pt>
                <c:pt idx="8">
                  <c:v>0.0252</c:v>
                </c:pt>
                <c:pt idx="9">
                  <c:v>0.0254</c:v>
                </c:pt>
                <c:pt idx="10">
                  <c:v>0.0256</c:v>
                </c:pt>
                <c:pt idx="11">
                  <c:v>0.0257</c:v>
                </c:pt>
              </c:numCache>
            </c:numRef>
          </c:val>
          <c:smooth val="0"/>
        </c:ser>
        <c:ser>
          <c:idx val="11"/>
          <c:order val="11"/>
          <c:tx>
            <c:strRef>
              <c:f>'PR Table'!$A$13</c:f>
              <c:strCache>
                <c:ptCount val="1"/>
                <c:pt idx="0">
                  <c:v>Long Beach</c:v>
                </c:pt>
              </c:strCache>
            </c:strRef>
          </c:tx>
          <c:spPr>
            <a:ln w="28575" cap="rnd">
              <a:solidFill>
                <a:schemeClr val="accent6">
                  <a:lumMod val="60000"/>
                </a:schemeClr>
              </a:solidFill>
              <a:round/>
            </a:ln>
            <a:effectLst/>
          </c:spPr>
          <c:marker>
            <c:symbol val="none"/>
          </c:marker>
          <c:cat>
            <c:numRef>
              <c:f>'PR Table'!$B$1:$M$1</c:f>
              <c:numCache>
                <c:formatCode>m/d/yyyy</c:formatCode>
                <c:ptCount val="12"/>
                <c:pt idx="0">
                  <c:v>37437.0</c:v>
                </c:pt>
                <c:pt idx="1">
                  <c:v>37802.0</c:v>
                </c:pt>
                <c:pt idx="2">
                  <c:v>38168.0</c:v>
                </c:pt>
                <c:pt idx="3">
                  <c:v>38533.0</c:v>
                </c:pt>
                <c:pt idx="4">
                  <c:v>38898.0</c:v>
                </c:pt>
                <c:pt idx="5">
                  <c:v>39263.0</c:v>
                </c:pt>
                <c:pt idx="6">
                  <c:v>39629.0</c:v>
                </c:pt>
                <c:pt idx="7">
                  <c:v>39994.0</c:v>
                </c:pt>
                <c:pt idx="8">
                  <c:v>40359.0</c:v>
                </c:pt>
                <c:pt idx="9">
                  <c:v>40724.0</c:v>
                </c:pt>
                <c:pt idx="10">
                  <c:v>41090.0</c:v>
                </c:pt>
                <c:pt idx="11">
                  <c:v>41455.0</c:v>
                </c:pt>
              </c:numCache>
            </c:numRef>
          </c:cat>
          <c:val>
            <c:numRef>
              <c:f>'PR Table'!$B$13:$M$13</c:f>
              <c:numCache>
                <c:formatCode>0.00%</c:formatCode>
                <c:ptCount val="12"/>
                <c:pt idx="0">
                  <c:v>0.0269</c:v>
                </c:pt>
                <c:pt idx="1">
                  <c:v>0.0267</c:v>
                </c:pt>
                <c:pt idx="2">
                  <c:v>0.0264</c:v>
                </c:pt>
                <c:pt idx="3">
                  <c:v>0.0261</c:v>
                </c:pt>
                <c:pt idx="4">
                  <c:v>0.0257</c:v>
                </c:pt>
                <c:pt idx="5">
                  <c:v>0.0254</c:v>
                </c:pt>
                <c:pt idx="6">
                  <c:v>0.0251</c:v>
                </c:pt>
                <c:pt idx="7">
                  <c:v>0.0248</c:v>
                </c:pt>
                <c:pt idx="8">
                  <c:v>0.0245</c:v>
                </c:pt>
                <c:pt idx="9">
                  <c:v>0.0243</c:v>
                </c:pt>
                <c:pt idx="10">
                  <c:v>0.024</c:v>
                </c:pt>
                <c:pt idx="11">
                  <c:v>0.0238</c:v>
                </c:pt>
              </c:numCache>
            </c:numRef>
          </c:val>
          <c:smooth val="0"/>
        </c:ser>
        <c:ser>
          <c:idx val="12"/>
          <c:order val="12"/>
          <c:tx>
            <c:strRef>
              <c:f>'PR Table'!$A$14</c:f>
              <c:strCache>
                <c:ptCount val="1"/>
                <c:pt idx="0">
                  <c:v>Glendale</c:v>
                </c:pt>
              </c:strCache>
            </c:strRef>
          </c:tx>
          <c:spPr>
            <a:ln w="28575" cap="rnd">
              <a:solidFill>
                <a:schemeClr val="accent1">
                  <a:lumMod val="80000"/>
                  <a:lumOff val="20000"/>
                </a:schemeClr>
              </a:solidFill>
              <a:round/>
            </a:ln>
            <a:effectLst/>
          </c:spPr>
          <c:marker>
            <c:symbol val="none"/>
          </c:marker>
          <c:cat>
            <c:numRef>
              <c:f>'PR Table'!$B$1:$M$1</c:f>
              <c:numCache>
                <c:formatCode>m/d/yyyy</c:formatCode>
                <c:ptCount val="12"/>
                <c:pt idx="0">
                  <c:v>37437.0</c:v>
                </c:pt>
                <c:pt idx="1">
                  <c:v>37802.0</c:v>
                </c:pt>
                <c:pt idx="2">
                  <c:v>38168.0</c:v>
                </c:pt>
                <c:pt idx="3">
                  <c:v>38533.0</c:v>
                </c:pt>
                <c:pt idx="4">
                  <c:v>38898.0</c:v>
                </c:pt>
                <c:pt idx="5">
                  <c:v>39263.0</c:v>
                </c:pt>
                <c:pt idx="6">
                  <c:v>39629.0</c:v>
                </c:pt>
                <c:pt idx="7">
                  <c:v>39994.0</c:v>
                </c:pt>
                <c:pt idx="8">
                  <c:v>40359.0</c:v>
                </c:pt>
                <c:pt idx="9">
                  <c:v>40724.0</c:v>
                </c:pt>
                <c:pt idx="10">
                  <c:v>41090.0</c:v>
                </c:pt>
                <c:pt idx="11">
                  <c:v>41455.0</c:v>
                </c:pt>
              </c:numCache>
            </c:numRef>
          </c:cat>
          <c:val>
            <c:numRef>
              <c:f>'PR Table'!$B$14:$M$14</c:f>
              <c:numCache>
                <c:formatCode>0.00%</c:formatCode>
                <c:ptCount val="12"/>
                <c:pt idx="0">
                  <c:v>0.0126</c:v>
                </c:pt>
                <c:pt idx="1">
                  <c:v>0.0127</c:v>
                </c:pt>
                <c:pt idx="2">
                  <c:v>0.0128</c:v>
                </c:pt>
                <c:pt idx="3">
                  <c:v>0.0128</c:v>
                </c:pt>
                <c:pt idx="4">
                  <c:v>0.0128</c:v>
                </c:pt>
                <c:pt idx="5">
                  <c:v>0.0129</c:v>
                </c:pt>
                <c:pt idx="6">
                  <c:v>0.0129</c:v>
                </c:pt>
                <c:pt idx="7">
                  <c:v>0.0129</c:v>
                </c:pt>
                <c:pt idx="8">
                  <c:v>0.0128</c:v>
                </c:pt>
                <c:pt idx="9">
                  <c:v>0.0128</c:v>
                </c:pt>
                <c:pt idx="10">
                  <c:v>0.0128</c:v>
                </c:pt>
                <c:pt idx="11">
                  <c:v>0.0128</c:v>
                </c:pt>
              </c:numCache>
            </c:numRef>
          </c:val>
          <c:smooth val="0"/>
        </c:ser>
        <c:ser>
          <c:idx val="13"/>
          <c:order val="13"/>
          <c:tx>
            <c:strRef>
              <c:f>'PR Table'!$A$15</c:f>
              <c:strCache>
                <c:ptCount val="1"/>
                <c:pt idx="0">
                  <c:v>Torrance</c:v>
                </c:pt>
              </c:strCache>
            </c:strRef>
          </c:tx>
          <c:spPr>
            <a:ln w="28575" cap="rnd">
              <a:solidFill>
                <a:schemeClr val="accent2">
                  <a:lumMod val="80000"/>
                  <a:lumOff val="20000"/>
                </a:schemeClr>
              </a:solidFill>
              <a:round/>
            </a:ln>
            <a:effectLst/>
          </c:spPr>
          <c:marker>
            <c:symbol val="none"/>
          </c:marker>
          <c:cat>
            <c:numRef>
              <c:f>'PR Table'!$B$1:$M$1</c:f>
              <c:numCache>
                <c:formatCode>m/d/yyyy</c:formatCode>
                <c:ptCount val="12"/>
                <c:pt idx="0">
                  <c:v>37437.0</c:v>
                </c:pt>
                <c:pt idx="1">
                  <c:v>37802.0</c:v>
                </c:pt>
                <c:pt idx="2">
                  <c:v>38168.0</c:v>
                </c:pt>
                <c:pt idx="3">
                  <c:v>38533.0</c:v>
                </c:pt>
                <c:pt idx="4">
                  <c:v>38898.0</c:v>
                </c:pt>
                <c:pt idx="5">
                  <c:v>39263.0</c:v>
                </c:pt>
                <c:pt idx="6">
                  <c:v>39629.0</c:v>
                </c:pt>
                <c:pt idx="7">
                  <c:v>39994.0</c:v>
                </c:pt>
                <c:pt idx="8">
                  <c:v>40359.0</c:v>
                </c:pt>
                <c:pt idx="9">
                  <c:v>40724.0</c:v>
                </c:pt>
                <c:pt idx="10">
                  <c:v>41090.0</c:v>
                </c:pt>
                <c:pt idx="11">
                  <c:v>41455.0</c:v>
                </c:pt>
              </c:numCache>
            </c:numRef>
          </c:cat>
          <c:val>
            <c:numRef>
              <c:f>'PR Table'!$B$15:$M$15</c:f>
              <c:numCache>
                <c:formatCode>0.00%</c:formatCode>
                <c:ptCount val="12"/>
                <c:pt idx="0">
                  <c:v>0.0119</c:v>
                </c:pt>
                <c:pt idx="1">
                  <c:v>0.0118</c:v>
                </c:pt>
                <c:pt idx="2">
                  <c:v>0.0118</c:v>
                </c:pt>
                <c:pt idx="3">
                  <c:v>0.0118</c:v>
                </c:pt>
                <c:pt idx="4">
                  <c:v>0.0118</c:v>
                </c:pt>
                <c:pt idx="5">
                  <c:v>0.0117</c:v>
                </c:pt>
                <c:pt idx="6">
                  <c:v>0.0117</c:v>
                </c:pt>
                <c:pt idx="7">
                  <c:v>0.0116</c:v>
                </c:pt>
                <c:pt idx="8">
                  <c:v>0.0115</c:v>
                </c:pt>
                <c:pt idx="9">
                  <c:v>0.0115</c:v>
                </c:pt>
                <c:pt idx="10">
                  <c:v>0.0114</c:v>
                </c:pt>
                <c:pt idx="11">
                  <c:v>0.0114</c:v>
                </c:pt>
              </c:numCache>
            </c:numRef>
          </c:val>
          <c:smooth val="0"/>
        </c:ser>
        <c:ser>
          <c:idx val="14"/>
          <c:order val="14"/>
          <c:tx>
            <c:strRef>
              <c:f>'PR Table'!$A$16</c:f>
              <c:strCache>
                <c:ptCount val="1"/>
                <c:pt idx="0">
                  <c:v>Pasadena</c:v>
                </c:pt>
              </c:strCache>
            </c:strRef>
          </c:tx>
          <c:spPr>
            <a:ln w="28575" cap="rnd">
              <a:solidFill>
                <a:schemeClr val="accent3">
                  <a:lumMod val="80000"/>
                  <a:lumOff val="20000"/>
                </a:schemeClr>
              </a:solidFill>
              <a:round/>
            </a:ln>
            <a:effectLst/>
          </c:spPr>
          <c:marker>
            <c:symbol val="none"/>
          </c:marker>
          <c:cat>
            <c:numRef>
              <c:f>'PR Table'!$B$1:$M$1</c:f>
              <c:numCache>
                <c:formatCode>m/d/yyyy</c:formatCode>
                <c:ptCount val="12"/>
                <c:pt idx="0">
                  <c:v>37437.0</c:v>
                </c:pt>
                <c:pt idx="1">
                  <c:v>37802.0</c:v>
                </c:pt>
                <c:pt idx="2">
                  <c:v>38168.0</c:v>
                </c:pt>
                <c:pt idx="3">
                  <c:v>38533.0</c:v>
                </c:pt>
                <c:pt idx="4">
                  <c:v>38898.0</c:v>
                </c:pt>
                <c:pt idx="5">
                  <c:v>39263.0</c:v>
                </c:pt>
                <c:pt idx="6">
                  <c:v>39629.0</c:v>
                </c:pt>
                <c:pt idx="7">
                  <c:v>39994.0</c:v>
                </c:pt>
                <c:pt idx="8">
                  <c:v>40359.0</c:v>
                </c:pt>
                <c:pt idx="9">
                  <c:v>40724.0</c:v>
                </c:pt>
                <c:pt idx="10">
                  <c:v>41090.0</c:v>
                </c:pt>
                <c:pt idx="11">
                  <c:v>41455.0</c:v>
                </c:pt>
              </c:numCache>
            </c:numRef>
          </c:cat>
          <c:val>
            <c:numRef>
              <c:f>'PR Table'!$B$16:$M$16</c:f>
              <c:numCache>
                <c:formatCode>0.00%</c:formatCode>
                <c:ptCount val="12"/>
                <c:pt idx="0">
                  <c:v>0.0108</c:v>
                </c:pt>
                <c:pt idx="1">
                  <c:v>0.0108</c:v>
                </c:pt>
                <c:pt idx="2">
                  <c:v>0.0108</c:v>
                </c:pt>
                <c:pt idx="3">
                  <c:v>0.0108</c:v>
                </c:pt>
                <c:pt idx="4">
                  <c:v>0.0108</c:v>
                </c:pt>
                <c:pt idx="5">
                  <c:v>0.0108</c:v>
                </c:pt>
                <c:pt idx="6">
                  <c:v>0.0108</c:v>
                </c:pt>
                <c:pt idx="7">
                  <c:v>0.0108</c:v>
                </c:pt>
                <c:pt idx="8">
                  <c:v>0.0109</c:v>
                </c:pt>
                <c:pt idx="9">
                  <c:v>0.0109</c:v>
                </c:pt>
                <c:pt idx="10">
                  <c:v>0.0109</c:v>
                </c:pt>
                <c:pt idx="11">
                  <c:v>0.011</c:v>
                </c:pt>
              </c:numCache>
            </c:numRef>
          </c:val>
          <c:smooth val="0"/>
        </c:ser>
        <c:ser>
          <c:idx val="15"/>
          <c:order val="15"/>
          <c:tx>
            <c:strRef>
              <c:f>'PR Table'!$A$17</c:f>
              <c:strCache>
                <c:ptCount val="1"/>
                <c:pt idx="0">
                  <c:v>Anaheim</c:v>
                </c:pt>
              </c:strCache>
            </c:strRef>
          </c:tx>
          <c:spPr>
            <a:ln w="28575" cap="rnd">
              <a:solidFill>
                <a:schemeClr val="accent4">
                  <a:lumMod val="80000"/>
                  <a:lumOff val="20000"/>
                </a:schemeClr>
              </a:solidFill>
              <a:round/>
            </a:ln>
            <a:effectLst/>
          </c:spPr>
          <c:marker>
            <c:symbol val="none"/>
          </c:marker>
          <c:cat>
            <c:numRef>
              <c:f>'PR Table'!$B$1:$M$1</c:f>
              <c:numCache>
                <c:formatCode>m/d/yyyy</c:formatCode>
                <c:ptCount val="12"/>
                <c:pt idx="0">
                  <c:v>37437.0</c:v>
                </c:pt>
                <c:pt idx="1">
                  <c:v>37802.0</c:v>
                </c:pt>
                <c:pt idx="2">
                  <c:v>38168.0</c:v>
                </c:pt>
                <c:pt idx="3">
                  <c:v>38533.0</c:v>
                </c:pt>
                <c:pt idx="4">
                  <c:v>38898.0</c:v>
                </c:pt>
                <c:pt idx="5">
                  <c:v>39263.0</c:v>
                </c:pt>
                <c:pt idx="6">
                  <c:v>39629.0</c:v>
                </c:pt>
                <c:pt idx="7">
                  <c:v>39994.0</c:v>
                </c:pt>
                <c:pt idx="8">
                  <c:v>40359.0</c:v>
                </c:pt>
                <c:pt idx="9">
                  <c:v>40724.0</c:v>
                </c:pt>
                <c:pt idx="10">
                  <c:v>41090.0</c:v>
                </c:pt>
                <c:pt idx="11">
                  <c:v>41455.0</c:v>
                </c:pt>
              </c:numCache>
            </c:numRef>
          </c:cat>
          <c:val>
            <c:numRef>
              <c:f>'PR Table'!$B$17:$M$17</c:f>
              <c:numCache>
                <c:formatCode>0.00%</c:formatCode>
                <c:ptCount val="12"/>
                <c:pt idx="0">
                  <c:v>0.0087</c:v>
                </c:pt>
                <c:pt idx="1">
                  <c:v>0.0089</c:v>
                </c:pt>
                <c:pt idx="2">
                  <c:v>0.0091</c:v>
                </c:pt>
                <c:pt idx="3">
                  <c:v>0.0093</c:v>
                </c:pt>
                <c:pt idx="4">
                  <c:v>0.0095</c:v>
                </c:pt>
                <c:pt idx="5">
                  <c:v>0.0097</c:v>
                </c:pt>
                <c:pt idx="6">
                  <c:v>0.0098</c:v>
                </c:pt>
                <c:pt idx="7">
                  <c:v>0.0099</c:v>
                </c:pt>
                <c:pt idx="8">
                  <c:v>0.01</c:v>
                </c:pt>
                <c:pt idx="9">
                  <c:v>0.0101</c:v>
                </c:pt>
                <c:pt idx="10">
                  <c:v>0.0101</c:v>
                </c:pt>
                <c:pt idx="11">
                  <c:v>0.0102</c:v>
                </c:pt>
              </c:numCache>
            </c:numRef>
          </c:val>
          <c:smooth val="0"/>
        </c:ser>
        <c:ser>
          <c:idx val="16"/>
          <c:order val="16"/>
          <c:tx>
            <c:strRef>
              <c:f>'PR Table'!$A$18</c:f>
              <c:strCache>
                <c:ptCount val="1"/>
                <c:pt idx="0">
                  <c:v>Beverly Hills</c:v>
                </c:pt>
              </c:strCache>
            </c:strRef>
          </c:tx>
          <c:spPr>
            <a:ln w="28575" cap="rnd">
              <a:solidFill>
                <a:schemeClr val="accent5">
                  <a:lumMod val="80000"/>
                  <a:lumOff val="20000"/>
                </a:schemeClr>
              </a:solidFill>
              <a:round/>
            </a:ln>
            <a:effectLst/>
          </c:spPr>
          <c:marker>
            <c:symbol val="none"/>
          </c:marker>
          <c:cat>
            <c:numRef>
              <c:f>'PR Table'!$B$1:$M$1</c:f>
              <c:numCache>
                <c:formatCode>m/d/yyyy</c:formatCode>
                <c:ptCount val="12"/>
                <c:pt idx="0">
                  <c:v>37437.0</c:v>
                </c:pt>
                <c:pt idx="1">
                  <c:v>37802.0</c:v>
                </c:pt>
                <c:pt idx="2">
                  <c:v>38168.0</c:v>
                </c:pt>
                <c:pt idx="3">
                  <c:v>38533.0</c:v>
                </c:pt>
                <c:pt idx="4">
                  <c:v>38898.0</c:v>
                </c:pt>
                <c:pt idx="5">
                  <c:v>39263.0</c:v>
                </c:pt>
                <c:pt idx="6">
                  <c:v>39629.0</c:v>
                </c:pt>
                <c:pt idx="7">
                  <c:v>39994.0</c:v>
                </c:pt>
                <c:pt idx="8">
                  <c:v>40359.0</c:v>
                </c:pt>
                <c:pt idx="9">
                  <c:v>40724.0</c:v>
                </c:pt>
                <c:pt idx="10">
                  <c:v>41090.0</c:v>
                </c:pt>
                <c:pt idx="11">
                  <c:v>41455.0</c:v>
                </c:pt>
              </c:numCache>
            </c:numRef>
          </c:cat>
          <c:val>
            <c:numRef>
              <c:f>'PR Table'!$B$18:$M$18</c:f>
              <c:numCache>
                <c:formatCode>0.00%</c:formatCode>
                <c:ptCount val="12"/>
                <c:pt idx="0">
                  <c:v>0.0102</c:v>
                </c:pt>
                <c:pt idx="1">
                  <c:v>0.0102</c:v>
                </c:pt>
                <c:pt idx="2">
                  <c:v>0.0102</c:v>
                </c:pt>
                <c:pt idx="3">
                  <c:v>0.0101</c:v>
                </c:pt>
                <c:pt idx="4">
                  <c:v>0.0101</c:v>
                </c:pt>
                <c:pt idx="5">
                  <c:v>0.0101</c:v>
                </c:pt>
                <c:pt idx="6">
                  <c:v>0.01</c:v>
                </c:pt>
                <c:pt idx="7">
                  <c:v>0.01</c:v>
                </c:pt>
                <c:pt idx="8">
                  <c:v>0.01</c:v>
                </c:pt>
                <c:pt idx="9">
                  <c:v>0.0099</c:v>
                </c:pt>
                <c:pt idx="10">
                  <c:v>0.0098</c:v>
                </c:pt>
                <c:pt idx="11">
                  <c:v>0.0098</c:v>
                </c:pt>
              </c:numCache>
            </c:numRef>
          </c:val>
          <c:smooth val="0"/>
        </c:ser>
        <c:ser>
          <c:idx val="17"/>
          <c:order val="17"/>
          <c:tx>
            <c:strRef>
              <c:f>'PR Table'!$A$19</c:f>
              <c:strCache>
                <c:ptCount val="1"/>
                <c:pt idx="0">
                  <c:v>Burbank</c:v>
                </c:pt>
              </c:strCache>
            </c:strRef>
          </c:tx>
          <c:spPr>
            <a:ln w="28575" cap="rnd">
              <a:solidFill>
                <a:schemeClr val="accent6">
                  <a:lumMod val="80000"/>
                  <a:lumOff val="20000"/>
                </a:schemeClr>
              </a:solidFill>
              <a:round/>
            </a:ln>
            <a:effectLst/>
          </c:spPr>
          <c:marker>
            <c:symbol val="none"/>
          </c:marker>
          <c:cat>
            <c:numRef>
              <c:f>'PR Table'!$B$1:$M$1</c:f>
              <c:numCache>
                <c:formatCode>m/d/yyyy</c:formatCode>
                <c:ptCount val="12"/>
                <c:pt idx="0">
                  <c:v>37437.0</c:v>
                </c:pt>
                <c:pt idx="1">
                  <c:v>37802.0</c:v>
                </c:pt>
                <c:pt idx="2">
                  <c:v>38168.0</c:v>
                </c:pt>
                <c:pt idx="3">
                  <c:v>38533.0</c:v>
                </c:pt>
                <c:pt idx="4">
                  <c:v>38898.0</c:v>
                </c:pt>
                <c:pt idx="5">
                  <c:v>39263.0</c:v>
                </c:pt>
                <c:pt idx="6">
                  <c:v>39629.0</c:v>
                </c:pt>
                <c:pt idx="7">
                  <c:v>39994.0</c:v>
                </c:pt>
                <c:pt idx="8">
                  <c:v>40359.0</c:v>
                </c:pt>
                <c:pt idx="9">
                  <c:v>40724.0</c:v>
                </c:pt>
                <c:pt idx="10">
                  <c:v>41090.0</c:v>
                </c:pt>
                <c:pt idx="11">
                  <c:v>41455.0</c:v>
                </c:pt>
              </c:numCache>
            </c:numRef>
          </c:cat>
          <c:val>
            <c:numRef>
              <c:f>'PR Table'!$B$19:$M$19</c:f>
              <c:numCache>
                <c:formatCode>0.00%</c:formatCode>
                <c:ptCount val="12"/>
                <c:pt idx="0">
                  <c:v>0.0097</c:v>
                </c:pt>
                <c:pt idx="1">
                  <c:v>0.0096</c:v>
                </c:pt>
                <c:pt idx="2">
                  <c:v>0.0096</c:v>
                </c:pt>
                <c:pt idx="3">
                  <c:v>0.0095</c:v>
                </c:pt>
                <c:pt idx="4">
                  <c:v>0.0095</c:v>
                </c:pt>
                <c:pt idx="5">
                  <c:v>0.0094</c:v>
                </c:pt>
                <c:pt idx="6">
                  <c:v>0.0093</c:v>
                </c:pt>
                <c:pt idx="7">
                  <c:v>0.0093</c:v>
                </c:pt>
                <c:pt idx="8">
                  <c:v>0.0092</c:v>
                </c:pt>
                <c:pt idx="9">
                  <c:v>0.0091</c:v>
                </c:pt>
                <c:pt idx="10">
                  <c:v>0.0092</c:v>
                </c:pt>
                <c:pt idx="11">
                  <c:v>0.0091</c:v>
                </c:pt>
              </c:numCache>
            </c:numRef>
          </c:val>
          <c:smooth val="0"/>
        </c:ser>
        <c:ser>
          <c:idx val="18"/>
          <c:order val="18"/>
          <c:tx>
            <c:strRef>
              <c:f>'PR Table'!$A$20</c:f>
              <c:strCache>
                <c:ptCount val="1"/>
                <c:pt idx="0">
                  <c:v>Las Virgenes</c:v>
                </c:pt>
              </c:strCache>
            </c:strRef>
          </c:tx>
          <c:spPr>
            <a:ln w="28575" cap="rnd">
              <a:solidFill>
                <a:schemeClr val="accent1">
                  <a:lumMod val="80000"/>
                </a:schemeClr>
              </a:solidFill>
              <a:round/>
            </a:ln>
            <a:effectLst/>
          </c:spPr>
          <c:marker>
            <c:symbol val="none"/>
          </c:marker>
          <c:cat>
            <c:numRef>
              <c:f>'PR Table'!$B$1:$M$1</c:f>
              <c:numCache>
                <c:formatCode>m/d/yyyy</c:formatCode>
                <c:ptCount val="12"/>
                <c:pt idx="0">
                  <c:v>37437.0</c:v>
                </c:pt>
                <c:pt idx="1">
                  <c:v>37802.0</c:v>
                </c:pt>
                <c:pt idx="2">
                  <c:v>38168.0</c:v>
                </c:pt>
                <c:pt idx="3">
                  <c:v>38533.0</c:v>
                </c:pt>
                <c:pt idx="4">
                  <c:v>38898.0</c:v>
                </c:pt>
                <c:pt idx="5">
                  <c:v>39263.0</c:v>
                </c:pt>
                <c:pt idx="6">
                  <c:v>39629.0</c:v>
                </c:pt>
                <c:pt idx="7">
                  <c:v>39994.0</c:v>
                </c:pt>
                <c:pt idx="8">
                  <c:v>40359.0</c:v>
                </c:pt>
                <c:pt idx="9">
                  <c:v>40724.0</c:v>
                </c:pt>
                <c:pt idx="10">
                  <c:v>41090.0</c:v>
                </c:pt>
                <c:pt idx="11">
                  <c:v>41455.0</c:v>
                </c:pt>
              </c:numCache>
            </c:numRef>
          </c:cat>
          <c:val>
            <c:numRef>
              <c:f>'PR Table'!$B$20:$M$20</c:f>
              <c:numCache>
                <c:formatCode>0.00%</c:formatCode>
                <c:ptCount val="12"/>
                <c:pt idx="0">
                  <c:v>0.0071</c:v>
                </c:pt>
                <c:pt idx="1">
                  <c:v>0.0073</c:v>
                </c:pt>
                <c:pt idx="2">
                  <c:v>0.0075</c:v>
                </c:pt>
                <c:pt idx="3">
                  <c:v>0.0077</c:v>
                </c:pt>
                <c:pt idx="4">
                  <c:v>0.0078</c:v>
                </c:pt>
                <c:pt idx="5">
                  <c:v>0.008</c:v>
                </c:pt>
                <c:pt idx="6">
                  <c:v>0.0082</c:v>
                </c:pt>
                <c:pt idx="7">
                  <c:v>0.0083</c:v>
                </c:pt>
                <c:pt idx="8">
                  <c:v>0.0084</c:v>
                </c:pt>
                <c:pt idx="9">
                  <c:v>0.0085</c:v>
                </c:pt>
                <c:pt idx="10">
                  <c:v>0.0086</c:v>
                </c:pt>
                <c:pt idx="11">
                  <c:v>0.0088</c:v>
                </c:pt>
              </c:numCache>
            </c:numRef>
          </c:val>
          <c:smooth val="0"/>
        </c:ser>
        <c:ser>
          <c:idx val="19"/>
          <c:order val="19"/>
          <c:tx>
            <c:strRef>
              <c:f>'PR Table'!$A$21</c:f>
              <c:strCache>
                <c:ptCount val="1"/>
                <c:pt idx="0">
                  <c:v>Santa Monica</c:v>
                </c:pt>
              </c:strCache>
            </c:strRef>
          </c:tx>
          <c:spPr>
            <a:ln w="28575" cap="rnd">
              <a:solidFill>
                <a:schemeClr val="accent2">
                  <a:lumMod val="80000"/>
                </a:schemeClr>
              </a:solidFill>
              <a:round/>
            </a:ln>
            <a:effectLst/>
          </c:spPr>
          <c:marker>
            <c:symbol val="none"/>
          </c:marker>
          <c:cat>
            <c:numRef>
              <c:f>'PR Table'!$B$1:$M$1</c:f>
              <c:numCache>
                <c:formatCode>m/d/yyyy</c:formatCode>
                <c:ptCount val="12"/>
                <c:pt idx="0">
                  <c:v>37437.0</c:v>
                </c:pt>
                <c:pt idx="1">
                  <c:v>37802.0</c:v>
                </c:pt>
                <c:pt idx="2">
                  <c:v>38168.0</c:v>
                </c:pt>
                <c:pt idx="3">
                  <c:v>38533.0</c:v>
                </c:pt>
                <c:pt idx="4">
                  <c:v>38898.0</c:v>
                </c:pt>
                <c:pt idx="5">
                  <c:v>39263.0</c:v>
                </c:pt>
                <c:pt idx="6">
                  <c:v>39629.0</c:v>
                </c:pt>
                <c:pt idx="7">
                  <c:v>39994.0</c:v>
                </c:pt>
                <c:pt idx="8">
                  <c:v>40359.0</c:v>
                </c:pt>
                <c:pt idx="9">
                  <c:v>40724.0</c:v>
                </c:pt>
                <c:pt idx="10">
                  <c:v>41090.0</c:v>
                </c:pt>
                <c:pt idx="11">
                  <c:v>41455.0</c:v>
                </c:pt>
              </c:numCache>
            </c:numRef>
          </c:cat>
          <c:val>
            <c:numRef>
              <c:f>'PR Table'!$B$21:$M$21</c:f>
              <c:numCache>
                <c:formatCode>0.00%</c:formatCode>
                <c:ptCount val="12"/>
                <c:pt idx="0">
                  <c:v>0.0093</c:v>
                </c:pt>
                <c:pt idx="1">
                  <c:v>0.0091</c:v>
                </c:pt>
                <c:pt idx="2">
                  <c:v>0.0091</c:v>
                </c:pt>
                <c:pt idx="3">
                  <c:v>0.009</c:v>
                </c:pt>
                <c:pt idx="4">
                  <c:v>0.0089</c:v>
                </c:pt>
                <c:pt idx="5">
                  <c:v>0.0088</c:v>
                </c:pt>
                <c:pt idx="6">
                  <c:v>0.0087</c:v>
                </c:pt>
                <c:pt idx="7">
                  <c:v>0.0087</c:v>
                </c:pt>
                <c:pt idx="8">
                  <c:v>0.0086</c:v>
                </c:pt>
                <c:pt idx="9">
                  <c:v>0.0085</c:v>
                </c:pt>
                <c:pt idx="10">
                  <c:v>0.0085</c:v>
                </c:pt>
                <c:pt idx="11">
                  <c:v>0.0085</c:v>
                </c:pt>
              </c:numCache>
            </c:numRef>
          </c:val>
          <c:smooth val="0"/>
        </c:ser>
        <c:ser>
          <c:idx val="20"/>
          <c:order val="20"/>
          <c:tx>
            <c:strRef>
              <c:f>'PR Table'!$A$22</c:f>
              <c:strCache>
                <c:ptCount val="1"/>
                <c:pt idx="0">
                  <c:v>Santa Ana</c:v>
                </c:pt>
              </c:strCache>
            </c:strRef>
          </c:tx>
          <c:spPr>
            <a:ln w="28575" cap="rnd">
              <a:solidFill>
                <a:schemeClr val="accent3">
                  <a:lumMod val="80000"/>
                </a:schemeClr>
              </a:solidFill>
              <a:round/>
            </a:ln>
            <a:effectLst/>
          </c:spPr>
          <c:marker>
            <c:symbol val="none"/>
          </c:marker>
          <c:cat>
            <c:numRef>
              <c:f>'PR Table'!$B$1:$M$1</c:f>
              <c:numCache>
                <c:formatCode>m/d/yyyy</c:formatCode>
                <c:ptCount val="12"/>
                <c:pt idx="0">
                  <c:v>37437.0</c:v>
                </c:pt>
                <c:pt idx="1">
                  <c:v>37802.0</c:v>
                </c:pt>
                <c:pt idx="2">
                  <c:v>38168.0</c:v>
                </c:pt>
                <c:pt idx="3">
                  <c:v>38533.0</c:v>
                </c:pt>
                <c:pt idx="4">
                  <c:v>38898.0</c:v>
                </c:pt>
                <c:pt idx="5">
                  <c:v>39263.0</c:v>
                </c:pt>
                <c:pt idx="6">
                  <c:v>39629.0</c:v>
                </c:pt>
                <c:pt idx="7">
                  <c:v>39994.0</c:v>
                </c:pt>
                <c:pt idx="8">
                  <c:v>40359.0</c:v>
                </c:pt>
                <c:pt idx="9">
                  <c:v>40724.0</c:v>
                </c:pt>
                <c:pt idx="10">
                  <c:v>41090.0</c:v>
                </c:pt>
                <c:pt idx="11">
                  <c:v>41455.0</c:v>
                </c:pt>
              </c:numCache>
            </c:numRef>
          </c:cat>
          <c:val>
            <c:numRef>
              <c:f>'PR Table'!$B$22:$M$22</c:f>
              <c:numCache>
                <c:formatCode>0.00%</c:formatCode>
                <c:ptCount val="12"/>
                <c:pt idx="0">
                  <c:v>0.0075</c:v>
                </c:pt>
                <c:pt idx="1">
                  <c:v>0.0077</c:v>
                </c:pt>
                <c:pt idx="2">
                  <c:v>0.0077</c:v>
                </c:pt>
                <c:pt idx="3">
                  <c:v>0.0077</c:v>
                </c:pt>
                <c:pt idx="4">
                  <c:v>0.0077</c:v>
                </c:pt>
                <c:pt idx="5">
                  <c:v>0.0077</c:v>
                </c:pt>
                <c:pt idx="6">
                  <c:v>0.0077</c:v>
                </c:pt>
                <c:pt idx="7">
                  <c:v>0.0077</c:v>
                </c:pt>
                <c:pt idx="8">
                  <c:v>0.0076</c:v>
                </c:pt>
                <c:pt idx="9">
                  <c:v>0.0076</c:v>
                </c:pt>
                <c:pt idx="10">
                  <c:v>0.0075</c:v>
                </c:pt>
                <c:pt idx="11">
                  <c:v>0.0075</c:v>
                </c:pt>
              </c:numCache>
            </c:numRef>
          </c:val>
          <c:smooth val="0"/>
        </c:ser>
        <c:ser>
          <c:idx val="21"/>
          <c:order val="21"/>
          <c:tx>
            <c:strRef>
              <c:f>'PR Table'!$A$23</c:f>
              <c:strCache>
                <c:ptCount val="1"/>
                <c:pt idx="0">
                  <c:v>Foothill</c:v>
                </c:pt>
              </c:strCache>
            </c:strRef>
          </c:tx>
          <c:spPr>
            <a:ln w="28575" cap="rnd">
              <a:solidFill>
                <a:schemeClr val="accent4">
                  <a:lumMod val="80000"/>
                </a:schemeClr>
              </a:solidFill>
              <a:round/>
            </a:ln>
            <a:effectLst/>
          </c:spPr>
          <c:marker>
            <c:symbol val="none"/>
          </c:marker>
          <c:cat>
            <c:numRef>
              <c:f>'PR Table'!$B$1:$M$1</c:f>
              <c:numCache>
                <c:formatCode>m/d/yyyy</c:formatCode>
                <c:ptCount val="12"/>
                <c:pt idx="0">
                  <c:v>37437.0</c:v>
                </c:pt>
                <c:pt idx="1">
                  <c:v>37802.0</c:v>
                </c:pt>
                <c:pt idx="2">
                  <c:v>38168.0</c:v>
                </c:pt>
                <c:pt idx="3">
                  <c:v>38533.0</c:v>
                </c:pt>
                <c:pt idx="4">
                  <c:v>38898.0</c:v>
                </c:pt>
                <c:pt idx="5">
                  <c:v>39263.0</c:v>
                </c:pt>
                <c:pt idx="6">
                  <c:v>39629.0</c:v>
                </c:pt>
                <c:pt idx="7">
                  <c:v>39994.0</c:v>
                </c:pt>
                <c:pt idx="8">
                  <c:v>40359.0</c:v>
                </c:pt>
                <c:pt idx="9">
                  <c:v>40724.0</c:v>
                </c:pt>
                <c:pt idx="10">
                  <c:v>41090.0</c:v>
                </c:pt>
                <c:pt idx="11">
                  <c:v>41455.0</c:v>
                </c:pt>
              </c:numCache>
            </c:numRef>
          </c:cat>
          <c:val>
            <c:numRef>
              <c:f>'PR Table'!$B$23:$M$23</c:f>
              <c:numCache>
                <c:formatCode>0.00%</c:formatCode>
                <c:ptCount val="12"/>
                <c:pt idx="0">
                  <c:v>0.0068</c:v>
                </c:pt>
                <c:pt idx="1">
                  <c:v>0.0068</c:v>
                </c:pt>
                <c:pt idx="2">
                  <c:v>0.0068</c:v>
                </c:pt>
                <c:pt idx="3">
                  <c:v>0.0068</c:v>
                </c:pt>
                <c:pt idx="4">
                  <c:v>0.0068</c:v>
                </c:pt>
                <c:pt idx="5">
                  <c:v>0.0068</c:v>
                </c:pt>
                <c:pt idx="6">
                  <c:v>0.0068</c:v>
                </c:pt>
                <c:pt idx="7">
                  <c:v>0.0068</c:v>
                </c:pt>
                <c:pt idx="8">
                  <c:v>0.0068</c:v>
                </c:pt>
                <c:pt idx="9">
                  <c:v>0.0068</c:v>
                </c:pt>
                <c:pt idx="10">
                  <c:v>0.0068</c:v>
                </c:pt>
                <c:pt idx="11">
                  <c:v>0.0068</c:v>
                </c:pt>
              </c:numCache>
            </c:numRef>
          </c:val>
          <c:smooth val="0"/>
        </c:ser>
        <c:ser>
          <c:idx val="22"/>
          <c:order val="22"/>
          <c:tx>
            <c:strRef>
              <c:f>'PR Table'!$A$24</c:f>
              <c:strCache>
                <c:ptCount val="1"/>
                <c:pt idx="0">
                  <c:v>Fullerton</c:v>
                </c:pt>
              </c:strCache>
            </c:strRef>
          </c:tx>
          <c:spPr>
            <a:ln w="28575" cap="rnd">
              <a:solidFill>
                <a:schemeClr val="accent5">
                  <a:lumMod val="80000"/>
                </a:schemeClr>
              </a:solidFill>
              <a:round/>
            </a:ln>
            <a:effectLst/>
          </c:spPr>
          <c:marker>
            <c:symbol val="none"/>
          </c:marker>
          <c:cat>
            <c:numRef>
              <c:f>'PR Table'!$B$1:$M$1</c:f>
              <c:numCache>
                <c:formatCode>m/d/yyyy</c:formatCode>
                <c:ptCount val="12"/>
                <c:pt idx="0">
                  <c:v>37437.0</c:v>
                </c:pt>
                <c:pt idx="1">
                  <c:v>37802.0</c:v>
                </c:pt>
                <c:pt idx="2">
                  <c:v>38168.0</c:v>
                </c:pt>
                <c:pt idx="3">
                  <c:v>38533.0</c:v>
                </c:pt>
                <c:pt idx="4">
                  <c:v>38898.0</c:v>
                </c:pt>
                <c:pt idx="5">
                  <c:v>39263.0</c:v>
                </c:pt>
                <c:pt idx="6">
                  <c:v>39629.0</c:v>
                </c:pt>
                <c:pt idx="7">
                  <c:v>39994.0</c:v>
                </c:pt>
                <c:pt idx="8">
                  <c:v>40359.0</c:v>
                </c:pt>
                <c:pt idx="9">
                  <c:v>40724.0</c:v>
                </c:pt>
                <c:pt idx="10">
                  <c:v>41090.0</c:v>
                </c:pt>
                <c:pt idx="11">
                  <c:v>41455.0</c:v>
                </c:pt>
              </c:numCache>
            </c:numRef>
          </c:cat>
          <c:val>
            <c:numRef>
              <c:f>'PR Table'!$B$24:$M$24</c:f>
              <c:numCache>
                <c:formatCode>0.00%</c:formatCode>
                <c:ptCount val="12"/>
                <c:pt idx="0">
                  <c:v>0.006</c:v>
                </c:pt>
                <c:pt idx="1">
                  <c:v>0.006</c:v>
                </c:pt>
                <c:pt idx="2">
                  <c:v>0.006</c:v>
                </c:pt>
                <c:pt idx="3">
                  <c:v>0.0059</c:v>
                </c:pt>
                <c:pt idx="4">
                  <c:v>0.0059</c:v>
                </c:pt>
                <c:pt idx="5">
                  <c:v>0.0059</c:v>
                </c:pt>
                <c:pt idx="6">
                  <c:v>0.0059</c:v>
                </c:pt>
                <c:pt idx="7">
                  <c:v>0.0059</c:v>
                </c:pt>
                <c:pt idx="8">
                  <c:v>0.0059</c:v>
                </c:pt>
                <c:pt idx="9">
                  <c:v>0.0059</c:v>
                </c:pt>
                <c:pt idx="10">
                  <c:v>0.0058</c:v>
                </c:pt>
                <c:pt idx="11">
                  <c:v>0.0058</c:v>
                </c:pt>
              </c:numCache>
            </c:numRef>
          </c:val>
          <c:smooth val="0"/>
        </c:ser>
        <c:ser>
          <c:idx val="23"/>
          <c:order val="23"/>
          <c:tx>
            <c:strRef>
              <c:f>'PR Table'!$A$25</c:f>
              <c:strCache>
                <c:ptCount val="1"/>
                <c:pt idx="0">
                  <c:v>Compton</c:v>
                </c:pt>
              </c:strCache>
            </c:strRef>
          </c:tx>
          <c:spPr>
            <a:ln w="28575" cap="rnd">
              <a:solidFill>
                <a:schemeClr val="accent6">
                  <a:lumMod val="80000"/>
                </a:schemeClr>
              </a:solidFill>
              <a:round/>
            </a:ln>
            <a:effectLst/>
          </c:spPr>
          <c:marker>
            <c:symbol val="none"/>
          </c:marker>
          <c:cat>
            <c:numRef>
              <c:f>'PR Table'!$B$1:$M$1</c:f>
              <c:numCache>
                <c:formatCode>m/d/yyyy</c:formatCode>
                <c:ptCount val="12"/>
                <c:pt idx="0">
                  <c:v>37437.0</c:v>
                </c:pt>
                <c:pt idx="1">
                  <c:v>37802.0</c:v>
                </c:pt>
                <c:pt idx="2">
                  <c:v>38168.0</c:v>
                </c:pt>
                <c:pt idx="3">
                  <c:v>38533.0</c:v>
                </c:pt>
                <c:pt idx="4">
                  <c:v>38898.0</c:v>
                </c:pt>
                <c:pt idx="5">
                  <c:v>39263.0</c:v>
                </c:pt>
                <c:pt idx="6">
                  <c:v>39629.0</c:v>
                </c:pt>
                <c:pt idx="7">
                  <c:v>39994.0</c:v>
                </c:pt>
                <c:pt idx="8">
                  <c:v>40359.0</c:v>
                </c:pt>
                <c:pt idx="9">
                  <c:v>40724.0</c:v>
                </c:pt>
                <c:pt idx="10">
                  <c:v>41090.0</c:v>
                </c:pt>
                <c:pt idx="11">
                  <c:v>41455.0</c:v>
                </c:pt>
              </c:numCache>
            </c:numRef>
          </c:cat>
          <c:val>
            <c:numRef>
              <c:f>'PR Table'!$B$25:$M$25</c:f>
              <c:numCache>
                <c:formatCode>0.00%</c:formatCode>
                <c:ptCount val="12"/>
                <c:pt idx="0">
                  <c:v>0.0027</c:v>
                </c:pt>
                <c:pt idx="1">
                  <c:v>0.0027</c:v>
                </c:pt>
                <c:pt idx="2">
                  <c:v>0.0026</c:v>
                </c:pt>
                <c:pt idx="3">
                  <c:v>0.0026</c:v>
                </c:pt>
                <c:pt idx="4">
                  <c:v>0.0026</c:v>
                </c:pt>
                <c:pt idx="5">
                  <c:v>0.0026</c:v>
                </c:pt>
                <c:pt idx="6">
                  <c:v>0.0025</c:v>
                </c:pt>
                <c:pt idx="7">
                  <c:v>0.0025</c:v>
                </c:pt>
                <c:pt idx="8">
                  <c:v>0.0025</c:v>
                </c:pt>
                <c:pt idx="9">
                  <c:v>0.0024</c:v>
                </c:pt>
                <c:pt idx="10">
                  <c:v>0.0024</c:v>
                </c:pt>
                <c:pt idx="11">
                  <c:v>0.0024</c:v>
                </c:pt>
              </c:numCache>
            </c:numRef>
          </c:val>
          <c:smooth val="0"/>
        </c:ser>
        <c:ser>
          <c:idx val="24"/>
          <c:order val="24"/>
          <c:tx>
            <c:strRef>
              <c:f>'PR Table'!$A$26</c:f>
              <c:strCache>
                <c:ptCount val="1"/>
                <c:pt idx="0">
                  <c:v>San Marino</c:v>
                </c:pt>
              </c:strCache>
            </c:strRef>
          </c:tx>
          <c:spPr>
            <a:ln w="28575" cap="rnd">
              <a:solidFill>
                <a:schemeClr val="accent1">
                  <a:lumMod val="60000"/>
                  <a:lumOff val="40000"/>
                </a:schemeClr>
              </a:solidFill>
              <a:round/>
            </a:ln>
            <a:effectLst/>
          </c:spPr>
          <c:marker>
            <c:symbol val="none"/>
          </c:marker>
          <c:cat>
            <c:numRef>
              <c:f>'PR Table'!$B$1:$M$1</c:f>
              <c:numCache>
                <c:formatCode>m/d/yyyy</c:formatCode>
                <c:ptCount val="12"/>
                <c:pt idx="0">
                  <c:v>37437.0</c:v>
                </c:pt>
                <c:pt idx="1">
                  <c:v>37802.0</c:v>
                </c:pt>
                <c:pt idx="2">
                  <c:v>38168.0</c:v>
                </c:pt>
                <c:pt idx="3">
                  <c:v>38533.0</c:v>
                </c:pt>
                <c:pt idx="4">
                  <c:v>38898.0</c:v>
                </c:pt>
                <c:pt idx="5">
                  <c:v>39263.0</c:v>
                </c:pt>
                <c:pt idx="6">
                  <c:v>39629.0</c:v>
                </c:pt>
                <c:pt idx="7">
                  <c:v>39994.0</c:v>
                </c:pt>
                <c:pt idx="8">
                  <c:v>40359.0</c:v>
                </c:pt>
                <c:pt idx="9">
                  <c:v>40724.0</c:v>
                </c:pt>
                <c:pt idx="10">
                  <c:v>41090.0</c:v>
                </c:pt>
                <c:pt idx="11">
                  <c:v>41455.0</c:v>
                </c:pt>
              </c:numCache>
            </c:numRef>
          </c:cat>
          <c:val>
            <c:numRef>
              <c:f>'PR Table'!$B$26:$M$26</c:f>
              <c:numCache>
                <c:formatCode>0.00%</c:formatCode>
                <c:ptCount val="12"/>
                <c:pt idx="0">
                  <c:v>0.0021</c:v>
                </c:pt>
                <c:pt idx="1">
                  <c:v>0.0021</c:v>
                </c:pt>
                <c:pt idx="2">
                  <c:v>0.0021</c:v>
                </c:pt>
                <c:pt idx="3">
                  <c:v>0.0021</c:v>
                </c:pt>
                <c:pt idx="4">
                  <c:v>0.002</c:v>
                </c:pt>
                <c:pt idx="5">
                  <c:v>0.002</c:v>
                </c:pt>
                <c:pt idx="6">
                  <c:v>0.002</c:v>
                </c:pt>
                <c:pt idx="7">
                  <c:v>0.002</c:v>
                </c:pt>
                <c:pt idx="8">
                  <c:v>0.002</c:v>
                </c:pt>
                <c:pt idx="9">
                  <c:v>0.0019</c:v>
                </c:pt>
                <c:pt idx="10">
                  <c:v>0.0019</c:v>
                </c:pt>
                <c:pt idx="11">
                  <c:v>0.0019</c:v>
                </c:pt>
              </c:numCache>
            </c:numRef>
          </c:val>
          <c:smooth val="0"/>
        </c:ser>
        <c:ser>
          <c:idx val="25"/>
          <c:order val="25"/>
          <c:tx>
            <c:strRef>
              <c:f>'PR Table'!$A$27</c:f>
              <c:strCache>
                <c:ptCount val="1"/>
                <c:pt idx="0">
                  <c:v>San Fernando</c:v>
                </c:pt>
              </c:strCache>
            </c:strRef>
          </c:tx>
          <c:spPr>
            <a:ln w="28575" cap="rnd">
              <a:solidFill>
                <a:schemeClr val="accent2">
                  <a:lumMod val="60000"/>
                  <a:lumOff val="40000"/>
                </a:schemeClr>
              </a:solidFill>
              <a:round/>
            </a:ln>
            <a:effectLst/>
          </c:spPr>
          <c:marker>
            <c:symbol val="none"/>
          </c:marker>
          <c:cat>
            <c:numRef>
              <c:f>'PR Table'!$B$1:$M$1</c:f>
              <c:numCache>
                <c:formatCode>m/d/yyyy</c:formatCode>
                <c:ptCount val="12"/>
                <c:pt idx="0">
                  <c:v>37437.0</c:v>
                </c:pt>
                <c:pt idx="1">
                  <c:v>37802.0</c:v>
                </c:pt>
                <c:pt idx="2">
                  <c:v>38168.0</c:v>
                </c:pt>
                <c:pt idx="3">
                  <c:v>38533.0</c:v>
                </c:pt>
                <c:pt idx="4">
                  <c:v>38898.0</c:v>
                </c:pt>
                <c:pt idx="5">
                  <c:v>39263.0</c:v>
                </c:pt>
                <c:pt idx="6">
                  <c:v>39629.0</c:v>
                </c:pt>
                <c:pt idx="7">
                  <c:v>39994.0</c:v>
                </c:pt>
                <c:pt idx="8">
                  <c:v>40359.0</c:v>
                </c:pt>
                <c:pt idx="9">
                  <c:v>40724.0</c:v>
                </c:pt>
                <c:pt idx="10">
                  <c:v>41090.0</c:v>
                </c:pt>
                <c:pt idx="11">
                  <c:v>41455.0</c:v>
                </c:pt>
              </c:numCache>
            </c:numRef>
          </c:cat>
          <c:val>
            <c:numRef>
              <c:f>'PR Table'!$B$27:$M$27</c:f>
              <c:numCache>
                <c:formatCode>0.00%</c:formatCode>
                <c:ptCount val="12"/>
                <c:pt idx="0">
                  <c:v>0.0011</c:v>
                </c:pt>
                <c:pt idx="1">
                  <c:v>0.0011</c:v>
                </c:pt>
                <c:pt idx="2">
                  <c:v>0.001</c:v>
                </c:pt>
                <c:pt idx="3">
                  <c:v>0.001</c:v>
                </c:pt>
                <c:pt idx="4">
                  <c:v>0.001</c:v>
                </c:pt>
                <c:pt idx="5">
                  <c:v>0.001</c:v>
                </c:pt>
                <c:pt idx="6">
                  <c:v>0.001</c:v>
                </c:pt>
                <c:pt idx="7">
                  <c:v>0.0009</c:v>
                </c:pt>
                <c:pt idx="8">
                  <c:v>0.0009</c:v>
                </c:pt>
                <c:pt idx="9">
                  <c:v>0.0008</c:v>
                </c:pt>
                <c:pt idx="10">
                  <c:v>0.0008</c:v>
                </c:pt>
                <c:pt idx="11">
                  <c:v>0.0008</c:v>
                </c:pt>
              </c:numCache>
            </c:numRef>
          </c:val>
          <c:smooth val="0"/>
        </c:ser>
        <c:dLbls>
          <c:showLegendKey val="0"/>
          <c:showVal val="0"/>
          <c:showCatName val="0"/>
          <c:showSerName val="0"/>
          <c:showPercent val="0"/>
          <c:showBubbleSize val="0"/>
        </c:dLbls>
        <c:marker val="1"/>
        <c:smooth val="0"/>
        <c:axId val="2084667272"/>
        <c:axId val="2084675704"/>
      </c:lineChart>
      <c:dateAx>
        <c:axId val="2084667272"/>
        <c:scaling>
          <c:orientation val="minMax"/>
        </c:scaling>
        <c:delete val="0"/>
        <c:axPos val="b"/>
        <c:numFmt formatCode="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2084675704"/>
        <c:crosses val="autoZero"/>
        <c:auto val="1"/>
        <c:lblOffset val="100"/>
        <c:baseTimeUnit val="years"/>
      </c:dateAx>
      <c:valAx>
        <c:axId val="2084675704"/>
        <c:scaling>
          <c:orientation val="minMax"/>
        </c:scaling>
        <c:delete val="0"/>
        <c:axPos val="l"/>
        <c:majorGridlines>
          <c:spPr>
            <a:ln w="9525" cap="flat" cmpd="sng" algn="ctr">
              <a:solidFill>
                <a:schemeClr val="bg1">
                  <a:lumMod val="65000"/>
                </a:schemeClr>
              </a:solidFill>
              <a:round/>
            </a:ln>
            <a:effectLst/>
          </c:spPr>
        </c:majorGridlines>
        <c:minorGridlines>
          <c:spPr>
            <a:ln w="9525" cap="flat" cmpd="sng" algn="ctr">
              <a:solidFill>
                <a:sysClr val="window" lastClr="FFFFFF">
                  <a:lumMod val="95000"/>
                </a:sysClr>
              </a:solid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20846672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50"/>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Gill Sans MT" panose="020B0502020104020203" pitchFamily="34" charset="0"/>
                <a:ea typeface="+mn-ea"/>
                <a:cs typeface="+mn-cs"/>
              </a:defRPr>
            </a:pPr>
            <a:r>
              <a:rPr lang="en-US" sz="1200"/>
              <a:t>Per capita water consumption</a:t>
            </a:r>
          </a:p>
          <a:p>
            <a:pPr>
              <a:defRPr sz="1200" b="0" i="0" u="none" strike="noStrike" kern="1200" spc="0" baseline="0">
                <a:solidFill>
                  <a:schemeClr val="tx1">
                    <a:lumMod val="65000"/>
                    <a:lumOff val="35000"/>
                  </a:schemeClr>
                </a:solidFill>
                <a:latin typeface="Gill Sans MT" panose="020B0502020104020203" pitchFamily="34" charset="0"/>
                <a:ea typeface="+mn-ea"/>
                <a:cs typeface="+mn-cs"/>
              </a:defRPr>
            </a:pPr>
            <a:r>
              <a:rPr lang="en-US" sz="1200"/>
              <a:t>for the Long Beach Water Department, 1977-2013</a:t>
            </a:r>
          </a:p>
        </c:rich>
      </c:tx>
      <c:layout/>
      <c:overlay val="0"/>
      <c:spPr>
        <a:noFill/>
        <a:ln>
          <a:noFill/>
        </a:ln>
        <a:effectLst/>
      </c:spPr>
    </c:title>
    <c:autoTitleDeleted val="0"/>
    <c:plotArea>
      <c:layout>
        <c:manualLayout>
          <c:layoutTarget val="inner"/>
          <c:xMode val="edge"/>
          <c:yMode val="edge"/>
          <c:x val="0.112319264249992"/>
          <c:y val="0.167247297686459"/>
          <c:w val="0.81218676968232"/>
          <c:h val="0.661691750686455"/>
        </c:manualLayout>
      </c:layout>
      <c:lineChart>
        <c:grouping val="standard"/>
        <c:varyColors val="0"/>
        <c:ser>
          <c:idx val="1"/>
          <c:order val="0"/>
          <c:tx>
            <c:strRef>
              <c:f>'Sheet1 (2)'!$M$5</c:f>
              <c:strCache>
                <c:ptCount val="1"/>
                <c:pt idx="0">
                  <c:v>GPCD</c:v>
                </c:pt>
              </c:strCache>
            </c:strRef>
          </c:tx>
          <c:spPr>
            <a:ln w="25400" cap="rnd">
              <a:solidFill>
                <a:schemeClr val="accent4">
                  <a:lumMod val="75000"/>
                </a:schemeClr>
              </a:solidFill>
              <a:round/>
            </a:ln>
            <a:effectLst/>
          </c:spPr>
          <c:marker>
            <c:symbol val="none"/>
          </c:marker>
          <c:dPt>
            <c:idx val="6"/>
            <c:marker>
              <c:symbol val="circle"/>
              <c:size val="6"/>
              <c:spPr>
                <a:solidFill>
                  <a:srgbClr val="C00000"/>
                </a:solidFill>
                <a:ln w="9525">
                  <a:solidFill>
                    <a:schemeClr val="accent4">
                      <a:lumMod val="75000"/>
                    </a:schemeClr>
                  </a:solidFill>
                </a:ln>
                <a:effectLst/>
              </c:spPr>
            </c:marker>
            <c:bubble3D val="0"/>
          </c:dPt>
          <c:dPt>
            <c:idx val="34"/>
            <c:marker>
              <c:symbol val="circle"/>
              <c:size val="6"/>
              <c:spPr>
                <a:solidFill>
                  <a:srgbClr val="C00000"/>
                </a:solidFill>
                <a:ln w="9525">
                  <a:solidFill>
                    <a:schemeClr val="accent4">
                      <a:lumMod val="75000"/>
                    </a:schemeClr>
                  </a:solidFill>
                </a:ln>
                <a:effectLst/>
              </c:spPr>
            </c:marker>
            <c:bubble3D val="0"/>
          </c:dPt>
          <c:cat>
            <c:numRef>
              <c:f>'Sheet1 (2)'!$K$6:$K$42</c:f>
              <c:numCache>
                <c:formatCode>General</c:formatCode>
                <c:ptCount val="37"/>
                <c:pt idx="0">
                  <c:v>1977.0</c:v>
                </c:pt>
                <c:pt idx="3">
                  <c:v>1980.0</c:v>
                </c:pt>
                <c:pt idx="8">
                  <c:v>1985.0</c:v>
                </c:pt>
                <c:pt idx="13">
                  <c:v>1990.0</c:v>
                </c:pt>
                <c:pt idx="18">
                  <c:v>1995.0</c:v>
                </c:pt>
                <c:pt idx="23">
                  <c:v>2000.0</c:v>
                </c:pt>
                <c:pt idx="28">
                  <c:v>2005.0</c:v>
                </c:pt>
                <c:pt idx="33">
                  <c:v>2010.0</c:v>
                </c:pt>
                <c:pt idx="36">
                  <c:v>2013.0</c:v>
                </c:pt>
              </c:numCache>
            </c:numRef>
          </c:cat>
          <c:val>
            <c:numRef>
              <c:f>'Sheet1 (2)'!$M$6:$M$42</c:f>
              <c:numCache>
                <c:formatCode>0</c:formatCode>
                <c:ptCount val="37"/>
                <c:pt idx="0">
                  <c:v>153.4669620782851</c:v>
                </c:pt>
                <c:pt idx="1">
                  <c:v>161.504097755091</c:v>
                </c:pt>
                <c:pt idx="2">
                  <c:v>168.4375855305595</c:v>
                </c:pt>
                <c:pt idx="3">
                  <c:v>175.4091052608152</c:v>
                </c:pt>
                <c:pt idx="4">
                  <c:v>170.1995193348915</c:v>
                </c:pt>
                <c:pt idx="5">
                  <c:v>165.1884538386998</c:v>
                </c:pt>
                <c:pt idx="6">
                  <c:v>177.1243846633712</c:v>
                </c:pt>
                <c:pt idx="7">
                  <c:v>174.6670041691467</c:v>
                </c:pt>
                <c:pt idx="8">
                  <c:v>172.1971186364922</c:v>
                </c:pt>
                <c:pt idx="9">
                  <c:v>166.9111929139435</c:v>
                </c:pt>
                <c:pt idx="10">
                  <c:v>164.2620372412975</c:v>
                </c:pt>
                <c:pt idx="11">
                  <c:v>159.655021774387</c:v>
                </c:pt>
                <c:pt idx="12">
                  <c:v>158.3010940273973</c:v>
                </c:pt>
                <c:pt idx="13">
                  <c:v>153.2842254428827</c:v>
                </c:pt>
                <c:pt idx="14">
                  <c:v>130.6766610920616</c:v>
                </c:pt>
                <c:pt idx="15">
                  <c:v>132.6511714988392</c:v>
                </c:pt>
                <c:pt idx="16">
                  <c:v>136.1656275728683</c:v>
                </c:pt>
                <c:pt idx="17">
                  <c:v>144.7281994590753</c:v>
                </c:pt>
                <c:pt idx="18">
                  <c:v>139.5697983706212</c:v>
                </c:pt>
                <c:pt idx="19">
                  <c:v>144.8264143129225</c:v>
                </c:pt>
                <c:pt idx="20">
                  <c:v>145.4451813867001</c:v>
                </c:pt>
                <c:pt idx="21">
                  <c:v>135.422582162387</c:v>
                </c:pt>
                <c:pt idx="22">
                  <c:v>136.7532711255851</c:v>
                </c:pt>
                <c:pt idx="23">
                  <c:v>141.2170165031832</c:v>
                </c:pt>
                <c:pt idx="24">
                  <c:v>136.499336879777</c:v>
                </c:pt>
                <c:pt idx="25">
                  <c:v>137.5766926242108</c:v>
                </c:pt>
                <c:pt idx="26">
                  <c:v>132.8433687722335</c:v>
                </c:pt>
                <c:pt idx="27">
                  <c:v>138.1992404190644</c:v>
                </c:pt>
                <c:pt idx="28">
                  <c:v>128.350962548904</c:v>
                </c:pt>
                <c:pt idx="29">
                  <c:v>128.0299469964811</c:v>
                </c:pt>
                <c:pt idx="30">
                  <c:v>130.6818618199534</c:v>
                </c:pt>
                <c:pt idx="31">
                  <c:v>117.6598657102166</c:v>
                </c:pt>
                <c:pt idx="32">
                  <c:v>107.0835862790805</c:v>
                </c:pt>
                <c:pt idx="33">
                  <c:v>106.3307288912241</c:v>
                </c:pt>
                <c:pt idx="34">
                  <c:v>105.8722910093229</c:v>
                </c:pt>
                <c:pt idx="35">
                  <c:v>107.8945062020592</c:v>
                </c:pt>
                <c:pt idx="36">
                  <c:v>108.3350718449186</c:v>
                </c:pt>
              </c:numCache>
            </c:numRef>
          </c:val>
          <c:smooth val="0"/>
        </c:ser>
        <c:dLbls>
          <c:showLegendKey val="0"/>
          <c:showVal val="0"/>
          <c:showCatName val="0"/>
          <c:showSerName val="0"/>
          <c:showPercent val="0"/>
          <c:showBubbleSize val="0"/>
        </c:dLbls>
        <c:marker val="1"/>
        <c:smooth val="0"/>
        <c:axId val="2059576568"/>
        <c:axId val="2059569464"/>
      </c:lineChart>
      <c:catAx>
        <c:axId val="20595765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Gill Sans MT" panose="020B0502020104020203" pitchFamily="34" charset="0"/>
                    <a:ea typeface="+mn-ea"/>
                    <a:cs typeface="+mn-cs"/>
                  </a:defRPr>
                </a:pPr>
                <a:r>
                  <a:rPr lang="en-US" sz="1050"/>
                  <a:t>Fiscal Year Beginning</a:t>
                </a:r>
              </a:p>
            </c:rich>
          </c:tx>
          <c:layout>
            <c:manualLayout>
              <c:xMode val="edge"/>
              <c:yMode val="edge"/>
              <c:x val="0.429674768914755"/>
              <c:y val="0.938769633064398"/>
            </c:manualLayout>
          </c:layout>
          <c:overlay val="0"/>
          <c:spPr>
            <a:noFill/>
            <a:ln>
              <a:noFill/>
            </a:ln>
            <a:effectLst/>
          </c:sp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Gill Sans MT" panose="020B0502020104020203" pitchFamily="34" charset="0"/>
                <a:ea typeface="+mn-ea"/>
                <a:cs typeface="+mn-cs"/>
              </a:defRPr>
            </a:pPr>
            <a:endParaRPr lang="en-US"/>
          </a:p>
        </c:txPr>
        <c:crossAx val="2059569464"/>
        <c:crosses val="autoZero"/>
        <c:auto val="1"/>
        <c:lblAlgn val="ctr"/>
        <c:lblOffset val="100"/>
        <c:noMultiLvlLbl val="0"/>
      </c:catAx>
      <c:valAx>
        <c:axId val="2059569464"/>
        <c:scaling>
          <c:orientation val="minMax"/>
          <c:max val="180.0"/>
          <c:min val="1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Gill Sans MT" panose="020B0502020104020203" pitchFamily="34" charset="0"/>
                    <a:ea typeface="+mn-ea"/>
                    <a:cs typeface="+mn-cs"/>
                  </a:defRPr>
                </a:pPr>
                <a:r>
                  <a:rPr lang="en-US" sz="1050"/>
                  <a:t>Gallons per capita per day</a:t>
                </a:r>
              </a:p>
            </c:rich>
          </c:tx>
          <c:layout>
            <c:manualLayout>
              <c:xMode val="edge"/>
              <c:yMode val="edge"/>
              <c:x val="0.00219711666476473"/>
              <c:y val="0.279859736875742"/>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Gill Sans MT" panose="020B0502020104020203" pitchFamily="34" charset="0"/>
                <a:ea typeface="+mn-ea"/>
                <a:cs typeface="+mn-cs"/>
              </a:defRPr>
            </a:pPr>
            <a:endParaRPr lang="en-US"/>
          </a:p>
        </c:txPr>
        <c:crossAx val="2059576568"/>
        <c:crosses val="autoZero"/>
        <c:crossBetween val="midCat"/>
        <c:majorUnit val="2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Gill Sans MT" panose="020B0502020104020203" pitchFamily="34" charset="0"/>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0.79855</cdr:x>
      <cdr:y>0.43046</cdr:y>
    </cdr:from>
    <cdr:to>
      <cdr:x>0.80886</cdr:x>
      <cdr:y>0.51071</cdr:y>
    </cdr:to>
    <cdr:sp macro="" textlink="">
      <cdr:nvSpPr>
        <cdr:cNvPr id="2" name="Right Brace 1"/>
        <cdr:cNvSpPr/>
      </cdr:nvSpPr>
      <cdr:spPr>
        <a:xfrm xmlns:a="http://schemas.openxmlformats.org/drawingml/2006/main">
          <a:off x="4198627" y="1526875"/>
          <a:ext cx="54196" cy="284672"/>
        </a:xfrm>
        <a:prstGeom xmlns:a="http://schemas.openxmlformats.org/drawingml/2006/main" prst="rightBrac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0.79684</cdr:x>
      <cdr:y>0.42637</cdr:y>
    </cdr:from>
    <cdr:to>
      <cdr:x>0.90566</cdr:x>
      <cdr:y>0.51071</cdr:y>
    </cdr:to>
    <cdr:sp macro="" textlink="">
      <cdr:nvSpPr>
        <cdr:cNvPr id="3" name="TextBox 2"/>
        <cdr:cNvSpPr txBox="1"/>
      </cdr:nvSpPr>
      <cdr:spPr>
        <a:xfrm xmlns:a="http://schemas.openxmlformats.org/drawingml/2006/main">
          <a:off x="4189622" y="1512393"/>
          <a:ext cx="572160" cy="299154"/>
        </a:xfrm>
        <a:prstGeom xmlns:a="http://schemas.openxmlformats.org/drawingml/2006/main" prst="rect">
          <a:avLst/>
        </a:prstGeom>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US" sz="1050"/>
            <a:t>-23%</a:t>
          </a:r>
        </a:p>
      </cdr:txBody>
    </cdr:sp>
  </cdr:relSizeAnchor>
  <cdr:relSizeAnchor xmlns:cdr="http://schemas.openxmlformats.org/drawingml/2006/chartDrawing">
    <cdr:from>
      <cdr:x>0.378</cdr:x>
      <cdr:y>0.16556</cdr:y>
    </cdr:from>
    <cdr:to>
      <cdr:x>0.50062</cdr:x>
      <cdr:y>0.23816</cdr:y>
    </cdr:to>
    <cdr:sp macro="" textlink="">
      <cdr:nvSpPr>
        <cdr:cNvPr id="4" name="TextBox 3"/>
        <cdr:cNvSpPr txBox="1"/>
      </cdr:nvSpPr>
      <cdr:spPr>
        <a:xfrm xmlns:a="http://schemas.openxmlformats.org/drawingml/2006/main">
          <a:off x="1987432" y="587269"/>
          <a:ext cx="644744" cy="2575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solidFill>
                <a:schemeClr val="accent2">
                  <a:lumMod val="75000"/>
                </a:schemeClr>
              </a:solidFill>
            </a:rPr>
            <a:t>2013</a:t>
          </a:r>
        </a:p>
      </cdr:txBody>
    </cdr:sp>
  </cdr:relSizeAnchor>
  <cdr:relSizeAnchor xmlns:cdr="http://schemas.openxmlformats.org/drawingml/2006/chartDrawing">
    <cdr:from>
      <cdr:x>0.37913</cdr:x>
      <cdr:y>0.29593</cdr:y>
    </cdr:from>
    <cdr:to>
      <cdr:x>0.53158</cdr:x>
      <cdr:y>0.37894</cdr:y>
    </cdr:to>
    <cdr:sp macro="" textlink="">
      <cdr:nvSpPr>
        <cdr:cNvPr id="5" name="TextBox 1"/>
        <cdr:cNvSpPr txBox="1"/>
      </cdr:nvSpPr>
      <cdr:spPr>
        <a:xfrm xmlns:a="http://schemas.openxmlformats.org/drawingml/2006/main">
          <a:off x="1993372" y="1049710"/>
          <a:ext cx="801587" cy="2944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1">
              <a:solidFill>
                <a:schemeClr val="accent1">
                  <a:lumMod val="75000"/>
                </a:schemeClr>
              </a:solidFill>
            </a:rPr>
            <a:t>2014-15</a:t>
          </a:r>
        </a:p>
      </cdr:txBody>
    </cdr:sp>
  </cdr:relSizeAnchor>
  <cdr:relSizeAnchor xmlns:cdr="http://schemas.openxmlformats.org/drawingml/2006/chartDrawing">
    <cdr:from>
      <cdr:x>0.33859</cdr:x>
      <cdr:y>0.61528</cdr:y>
    </cdr:from>
    <cdr:to>
      <cdr:x>0.7137</cdr:x>
      <cdr:y>0.7814</cdr:y>
    </cdr:to>
    <cdr:sp macro="" textlink="">
      <cdr:nvSpPr>
        <cdr:cNvPr id="6" name="TextBox 5"/>
        <cdr:cNvSpPr txBox="1"/>
      </cdr:nvSpPr>
      <cdr:spPr>
        <a:xfrm xmlns:a="http://schemas.openxmlformats.org/drawingml/2006/main">
          <a:off x="1780258" y="2182482"/>
          <a:ext cx="1972232" cy="5892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solidFill>
                <a:schemeClr val="tx1">
                  <a:lumMod val="65000"/>
                  <a:lumOff val="35000"/>
                </a:schemeClr>
              </a:solidFill>
            </a:rPr>
            <a:t>July 15</a:t>
          </a:r>
        </a:p>
        <a:p xmlns:a="http://schemas.openxmlformats.org/drawingml/2006/main">
          <a:r>
            <a:rPr lang="en-US" sz="1000">
              <a:solidFill>
                <a:schemeClr val="tx1">
                  <a:lumMod val="65000"/>
                  <a:lumOff val="35000"/>
                </a:schemeClr>
              </a:solidFill>
            </a:rPr>
            <a:t>SWRCB approves emergency water conservation regulations</a:t>
          </a:r>
        </a:p>
      </cdr:txBody>
    </cdr:sp>
  </cdr:relSizeAnchor>
  <cdr:relSizeAnchor xmlns:cdr="http://schemas.openxmlformats.org/drawingml/2006/chartDrawing">
    <cdr:from>
      <cdr:x>1</cdr:x>
      <cdr:y>0.00644</cdr:y>
    </cdr:from>
    <cdr:to>
      <cdr:x>1</cdr:x>
      <cdr:y>1</cdr:y>
    </cdr:to>
    <cdr:cxnSp macro="">
      <cdr:nvCxnSpPr>
        <cdr:cNvPr id="7" name="Straight Connector 6"/>
        <cdr:cNvCxnSpPr/>
      </cdr:nvCxnSpPr>
      <cdr:spPr>
        <a:xfrm xmlns:a="http://schemas.openxmlformats.org/drawingml/2006/main">
          <a:off x="7242175" y="727075"/>
          <a:ext cx="0" cy="3524250"/>
        </a:xfrm>
        <a:prstGeom xmlns:a="http://schemas.openxmlformats.org/drawingml/2006/main" prst="line">
          <a:avLst/>
        </a:prstGeom>
        <a:ln xmlns:a="http://schemas.openxmlformats.org/drawingml/2006/main" w="19050">
          <a:solidFill>
            <a:schemeClr val="bg1">
              <a:lumMod val="65000"/>
            </a:schemeClr>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1</cdr:x>
      <cdr:y>0.00644</cdr:y>
    </cdr:from>
    <cdr:to>
      <cdr:x>1</cdr:x>
      <cdr:y>1</cdr:y>
    </cdr:to>
    <cdr:cxnSp macro="">
      <cdr:nvCxnSpPr>
        <cdr:cNvPr id="8" name="Straight Connector 7"/>
        <cdr:cNvCxnSpPr/>
      </cdr:nvCxnSpPr>
      <cdr:spPr>
        <a:xfrm xmlns:a="http://schemas.openxmlformats.org/drawingml/2006/main">
          <a:off x="7242175" y="727075"/>
          <a:ext cx="0" cy="3524250"/>
        </a:xfrm>
        <a:prstGeom xmlns:a="http://schemas.openxmlformats.org/drawingml/2006/main" prst="line">
          <a:avLst/>
        </a:prstGeom>
        <a:ln xmlns:a="http://schemas.openxmlformats.org/drawingml/2006/main" w="19050">
          <a:solidFill>
            <a:schemeClr val="bg1">
              <a:lumMod val="65000"/>
            </a:schemeClr>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0.34454</cdr:x>
      <cdr:y>0.14592</cdr:y>
    </cdr:from>
    <cdr:to>
      <cdr:x>0.34454</cdr:x>
      <cdr:y>0.78066</cdr:y>
    </cdr:to>
    <cdr:cxnSp macro="">
      <cdr:nvCxnSpPr>
        <cdr:cNvPr id="10" name="Straight Connector 9"/>
        <cdr:cNvCxnSpPr/>
      </cdr:nvCxnSpPr>
      <cdr:spPr>
        <a:xfrm xmlns:a="http://schemas.openxmlformats.org/drawingml/2006/main" flipV="1">
          <a:off x="1811547" y="517585"/>
          <a:ext cx="0" cy="2251494"/>
        </a:xfrm>
        <a:prstGeom xmlns:a="http://schemas.openxmlformats.org/drawingml/2006/main" prst="line">
          <a:avLst/>
        </a:prstGeom>
        <a:ln xmlns:a="http://schemas.openxmlformats.org/drawingml/2006/main" w="19050">
          <a:solidFill>
            <a:schemeClr val="bg1">
              <a:lumMod val="50000"/>
            </a:schemeClr>
          </a:solidFill>
          <a:prstDash val="sysDot"/>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0.45341</cdr:x>
      <cdr:y>0.184</cdr:y>
    </cdr:from>
    <cdr:to>
      <cdr:x>0.6721</cdr:x>
      <cdr:y>0.31448</cdr:y>
    </cdr:to>
    <cdr:sp macro="" textlink="">
      <cdr:nvSpPr>
        <cdr:cNvPr id="2" name="TextBox 1"/>
        <cdr:cNvSpPr txBox="1"/>
      </cdr:nvSpPr>
      <cdr:spPr>
        <a:xfrm xmlns:a="http://schemas.openxmlformats.org/drawingml/2006/main">
          <a:off x="2383939" y="702208"/>
          <a:ext cx="1149836" cy="49794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0">
              <a:solidFill>
                <a:schemeClr val="accent1"/>
              </a:solidFill>
            </a:rPr>
            <a:t>Los Angeles</a:t>
          </a:r>
        </a:p>
      </cdr:txBody>
    </cdr:sp>
  </cdr:relSizeAnchor>
  <cdr:relSizeAnchor xmlns:cdr="http://schemas.openxmlformats.org/drawingml/2006/chartDrawing">
    <cdr:from>
      <cdr:x>0.45341</cdr:x>
      <cdr:y>0.31284</cdr:y>
    </cdr:from>
    <cdr:to>
      <cdr:x>0.6721</cdr:x>
      <cdr:y>0.4218</cdr:y>
    </cdr:to>
    <cdr:sp macro="" textlink="">
      <cdr:nvSpPr>
        <cdr:cNvPr id="3" name="TextBox 1"/>
        <cdr:cNvSpPr txBox="1"/>
      </cdr:nvSpPr>
      <cdr:spPr>
        <a:xfrm xmlns:a="http://schemas.openxmlformats.org/drawingml/2006/main">
          <a:off x="2383939" y="1193907"/>
          <a:ext cx="1149836" cy="41581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0">
              <a:solidFill>
                <a:schemeClr val="accent2"/>
              </a:solidFill>
            </a:rPr>
            <a:t>San</a:t>
          </a:r>
          <a:r>
            <a:rPr lang="en-US" sz="1100" b="0" baseline="0">
              <a:solidFill>
                <a:schemeClr val="accent2"/>
              </a:solidFill>
            </a:rPr>
            <a:t> Diego</a:t>
          </a:r>
          <a:endParaRPr lang="en-US" sz="1100" b="0">
            <a:solidFill>
              <a:schemeClr val="accent2"/>
            </a:solidFill>
          </a:endParaRPr>
        </a:p>
      </cdr:txBody>
    </cdr:sp>
  </cdr:relSizeAnchor>
  <cdr:relSizeAnchor xmlns:cdr="http://schemas.openxmlformats.org/drawingml/2006/chartDrawing">
    <cdr:from>
      <cdr:x>0.4516</cdr:x>
      <cdr:y>0.4629</cdr:y>
    </cdr:from>
    <cdr:to>
      <cdr:x>0.66667</cdr:x>
      <cdr:y>0.57654</cdr:y>
    </cdr:to>
    <cdr:sp macro="" textlink="">
      <cdr:nvSpPr>
        <cdr:cNvPr id="4" name="TextBox 1"/>
        <cdr:cNvSpPr txBox="1"/>
      </cdr:nvSpPr>
      <cdr:spPr>
        <a:xfrm xmlns:a="http://schemas.openxmlformats.org/drawingml/2006/main">
          <a:off x="2374414" y="1766583"/>
          <a:ext cx="1130795" cy="43369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0">
              <a:solidFill>
                <a:schemeClr val="tx2">
                  <a:lumMod val="75000"/>
                </a:schemeClr>
              </a:solidFill>
            </a:rPr>
            <a:t>Orange</a:t>
          </a:r>
          <a:r>
            <a:rPr lang="en-US" sz="1100" b="0" baseline="0">
              <a:solidFill>
                <a:schemeClr val="tx2">
                  <a:lumMod val="75000"/>
                </a:schemeClr>
              </a:solidFill>
            </a:rPr>
            <a:t> County</a:t>
          </a:r>
          <a:endParaRPr lang="en-US" sz="1100" b="0">
            <a:solidFill>
              <a:schemeClr val="tx2">
                <a:lumMod val="75000"/>
              </a:schemeClr>
            </a:solidFill>
          </a:endParaRPr>
        </a:p>
      </cdr:txBody>
    </cdr:sp>
  </cdr:relSizeAnchor>
  <cdr:relSizeAnchor xmlns:cdr="http://schemas.openxmlformats.org/drawingml/2006/chartDrawing">
    <cdr:from>
      <cdr:x>0.45341</cdr:x>
      <cdr:y>0.59311</cdr:y>
    </cdr:from>
    <cdr:to>
      <cdr:x>0.69203</cdr:x>
      <cdr:y>0.70133</cdr:y>
    </cdr:to>
    <cdr:sp macro="" textlink="">
      <cdr:nvSpPr>
        <cdr:cNvPr id="5" name="TextBox 1"/>
        <cdr:cNvSpPr txBox="1"/>
      </cdr:nvSpPr>
      <cdr:spPr>
        <a:xfrm xmlns:a="http://schemas.openxmlformats.org/drawingml/2006/main">
          <a:off x="2383938" y="2263521"/>
          <a:ext cx="1254611" cy="41300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0">
              <a:solidFill>
                <a:srgbClr val="C00000"/>
              </a:solidFill>
            </a:rPr>
            <a:t>West</a:t>
          </a:r>
          <a:r>
            <a:rPr lang="en-US" sz="1100" b="0" baseline="0">
              <a:solidFill>
                <a:srgbClr val="C00000"/>
              </a:solidFill>
            </a:rPr>
            <a:t> Basin</a:t>
          </a:r>
          <a:endParaRPr lang="en-US" sz="1100" b="0">
            <a:solidFill>
              <a:srgbClr val="C00000"/>
            </a:solidFill>
          </a:endParaRPr>
        </a:p>
      </cdr:txBody>
    </cdr:sp>
  </cdr:relSizeAnchor>
  <cdr:relSizeAnchor xmlns:cdr="http://schemas.openxmlformats.org/drawingml/2006/chartDrawing">
    <cdr:from>
      <cdr:x>0.45341</cdr:x>
      <cdr:y>0.67067</cdr:y>
    </cdr:from>
    <cdr:to>
      <cdr:x>0.71014</cdr:x>
      <cdr:y>0.78369</cdr:y>
    </cdr:to>
    <cdr:sp macro="" textlink="">
      <cdr:nvSpPr>
        <cdr:cNvPr id="6" name="TextBox 1"/>
        <cdr:cNvSpPr txBox="1"/>
      </cdr:nvSpPr>
      <cdr:spPr>
        <a:xfrm xmlns:a="http://schemas.openxmlformats.org/drawingml/2006/main">
          <a:off x="2383938" y="2559499"/>
          <a:ext cx="1349861" cy="43135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0" baseline="0">
              <a:solidFill>
                <a:schemeClr val="accent5"/>
              </a:solidFill>
            </a:rPr>
            <a:t>Central Basin</a:t>
          </a:r>
          <a:endParaRPr lang="en-US" sz="1100" b="0">
            <a:solidFill>
              <a:schemeClr val="accent5"/>
            </a:solidFill>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0.80072</cdr:x>
      <cdr:y>0.16722</cdr:y>
    </cdr:from>
    <cdr:to>
      <cdr:x>0.84601</cdr:x>
      <cdr:y>0.82437</cdr:y>
    </cdr:to>
    <cdr:sp macro="" textlink="">
      <cdr:nvSpPr>
        <cdr:cNvPr id="4" name="Rectangle 3"/>
        <cdr:cNvSpPr/>
      </cdr:nvSpPr>
      <cdr:spPr>
        <a:xfrm xmlns:a="http://schemas.openxmlformats.org/drawingml/2006/main">
          <a:off x="4210050" y="542925"/>
          <a:ext cx="238125" cy="2133600"/>
        </a:xfrm>
        <a:prstGeom xmlns:a="http://schemas.openxmlformats.org/drawingml/2006/main" prst="rect">
          <a:avLst/>
        </a:prstGeom>
        <a:solidFill xmlns:a="http://schemas.openxmlformats.org/drawingml/2006/main">
          <a:srgbClr val="FFCC99">
            <a:alpha val="30980"/>
          </a:srgbClr>
        </a:solidFill>
        <a:ln xmlns:a="http://schemas.openxmlformats.org/drawingml/2006/main">
          <a:noFill/>
        </a:ln>
      </cdr:spPr>
      <cdr:style>
        <a:lnRef xmlns:a="http://schemas.openxmlformats.org/drawingml/2006/main" idx="1">
          <a:schemeClr val="accent2"/>
        </a:lnRef>
        <a:fillRef xmlns:a="http://schemas.openxmlformats.org/drawingml/2006/main" idx="2">
          <a:schemeClr val="accent2"/>
        </a:fillRef>
        <a:effectRef xmlns:a="http://schemas.openxmlformats.org/drawingml/2006/main" idx="1">
          <a:schemeClr val="accent2"/>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0.83641</cdr:x>
      <cdr:y>0.70175</cdr:y>
    </cdr:from>
    <cdr:to>
      <cdr:x>0.94254</cdr:x>
      <cdr:y>0.78735</cdr:y>
    </cdr:to>
    <cdr:sp macro="" textlink="">
      <cdr:nvSpPr>
        <cdr:cNvPr id="2" name="TextBox 1"/>
        <cdr:cNvSpPr txBox="1"/>
      </cdr:nvSpPr>
      <cdr:spPr>
        <a:xfrm xmlns:a="http://schemas.openxmlformats.org/drawingml/2006/main">
          <a:off x="4397697" y="2278426"/>
          <a:ext cx="558003" cy="2779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solidFill>
                <a:srgbClr val="C00000"/>
              </a:solidFill>
            </a:rPr>
            <a:t>106</a:t>
          </a:r>
        </a:p>
      </cdr:txBody>
    </cdr:sp>
  </cdr:relSizeAnchor>
  <cdr:relSizeAnchor xmlns:cdr="http://schemas.openxmlformats.org/drawingml/2006/chartDrawing">
    <cdr:from>
      <cdr:x>0.23911</cdr:x>
      <cdr:y>0.14986</cdr:y>
    </cdr:from>
    <cdr:to>
      <cdr:x>0.34837</cdr:x>
      <cdr:y>0.23202</cdr:y>
    </cdr:to>
    <cdr:sp macro="" textlink="">
      <cdr:nvSpPr>
        <cdr:cNvPr id="3" name="TextBox 1"/>
        <cdr:cNvSpPr txBox="1"/>
      </cdr:nvSpPr>
      <cdr:spPr>
        <a:xfrm xmlns:a="http://schemas.openxmlformats.org/drawingml/2006/main">
          <a:off x="1257174" y="486573"/>
          <a:ext cx="574480" cy="26672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1">
              <a:solidFill>
                <a:srgbClr val="C00000"/>
              </a:solidFill>
            </a:rPr>
            <a:t>177</a:t>
          </a:r>
        </a:p>
      </cdr:txBody>
    </cdr:sp>
  </cdr:relSizeAnchor>
  <cdr:relSizeAnchor xmlns:cdr="http://schemas.openxmlformats.org/drawingml/2006/chartDrawing">
    <cdr:from>
      <cdr:x>0.80254</cdr:x>
      <cdr:y>0.17015</cdr:y>
    </cdr:from>
    <cdr:to>
      <cdr:x>0.84601</cdr:x>
      <cdr:y>0.82144</cdr:y>
    </cdr:to>
    <cdr:sp macro="" textlink="">
      <cdr:nvSpPr>
        <cdr:cNvPr id="5" name="Text Box 4"/>
        <cdr:cNvSpPr txBox="1"/>
      </cdr:nvSpPr>
      <cdr:spPr>
        <a:xfrm xmlns:a="http://schemas.openxmlformats.org/drawingml/2006/main">
          <a:off x="4219575" y="552450"/>
          <a:ext cx="228600" cy="2114550"/>
        </a:xfrm>
        <a:prstGeom xmlns:a="http://schemas.openxmlformats.org/drawingml/2006/main" prst="rect">
          <a:avLst/>
        </a:prstGeom>
      </cdr:spPr>
      <cdr:txBody>
        <a:bodyPr xmlns:a="http://schemas.openxmlformats.org/drawingml/2006/main" vertOverflow="clip" vert="vert270" wrap="square" rtlCol="0" anchor="ctr" anchorCtr="0"/>
        <a:lstStyle xmlns:a="http://schemas.openxmlformats.org/drawingml/2006/main"/>
        <a:p xmlns:a="http://schemas.openxmlformats.org/drawingml/2006/main">
          <a:pPr algn="ctr"/>
          <a:r>
            <a:rPr lang="en-US" sz="1200">
              <a:solidFill>
                <a:schemeClr val="tx1">
                  <a:lumMod val="65000"/>
                  <a:lumOff val="35000"/>
                </a:schemeClr>
              </a:solidFill>
            </a:rPr>
            <a:t>Drought</a:t>
          </a:r>
          <a:endParaRPr lang="en-US" sz="1100">
            <a:solidFill>
              <a:schemeClr val="tx1">
                <a:lumMod val="65000"/>
                <a:lumOff val="35000"/>
              </a:schemeClr>
            </a:solidFill>
          </a:endParaRPr>
        </a:p>
      </cdr:txBody>
    </cdr:sp>
  </cdr:relSizeAnchor>
</c:userShape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Gill Sans MT">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BC1FDA-6F77-534D-A4BD-8D9686C33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1468</TotalTime>
  <Pages>79</Pages>
  <Words>17668</Words>
  <Characters>100713</Characters>
  <Application>Microsoft Macintosh Word</Application>
  <DocSecurity>0</DocSecurity>
  <Lines>839</Lines>
  <Paragraphs>236</Paragraphs>
  <ScaleCrop>false</ScaleCrop>
  <HeadingPairs>
    <vt:vector size="2" baseType="variant">
      <vt:variant>
        <vt:lpstr>Title</vt:lpstr>
      </vt:variant>
      <vt:variant>
        <vt:i4>1</vt:i4>
      </vt:variant>
    </vt:vector>
  </HeadingPairs>
  <TitlesOfParts>
    <vt:vector size="1" baseType="lpstr">
      <vt:lpstr>FinalPaper_Outline.docx</vt:lpstr>
    </vt:vector>
  </TitlesOfParts>
  <Company>Hewlett-Packard</Company>
  <LinksUpToDate>false</LinksUpToDate>
  <CharactersWithSpaces>118145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FinalPaper_Outline.docx</dc:title>
  <dc:creator>Dean Wang</dc:creator>
  <cp:lastModifiedBy>Jim Bond</cp:lastModifiedBy>
  <cp:revision>169</cp:revision>
  <cp:lastPrinted>2015-02-17T01:00:00Z</cp:lastPrinted>
  <dcterms:created xsi:type="dcterms:W3CDTF">2015-04-03T22:08:00Z</dcterms:created>
  <dcterms:modified xsi:type="dcterms:W3CDTF">2015-04-20T03:00:00Z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zotero-version="4.0.26.3"&gt;&lt;session id="XXu9OFrD"/&gt;&lt;style id="http://www.zotero.org/styles/chicago-fullnote-bibliography" hasBibliography="1" bibliographyStyleHasBeenSet="1"/&gt;&lt;prefs&gt;&lt;pref name="fieldType" value="Field"/&gt;&lt;pref name="s</vt:lpwstr>
  </property>
  <property fmtid="{D5CDD505-2E9C-101B-9397-08002B2CF9AE}" pid="3" name="ZOTERO_PREF_2">
    <vt:lpwstr>toreReferences" value="true"/&gt;&lt;pref name="automaticJournalAbbreviations" value="true"/&gt;&lt;pref name="noteType" value="2"/&gt;&lt;/prefs&gt;&lt;/data&gt;</vt:lpwstr>
  </property>
</Properties>
</file>